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83" w:rsidRDefault="0014603A">
      <w:pPr>
        <w:spacing w:after="0"/>
        <w:ind w:left="228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D51555" w:rsidRDefault="00D51555" w:rsidP="00D51555">
      <w:pPr>
        <w:pStyle w:val="Default"/>
        <w:jc w:val="both"/>
        <w:rPr>
          <w:b/>
          <w:bCs/>
          <w:i/>
          <w:sz w:val="28"/>
          <w:szCs w:val="28"/>
        </w:rPr>
      </w:pPr>
    </w:p>
    <w:p w:rsidR="00D51555" w:rsidRDefault="00D51555" w:rsidP="00D51555">
      <w:pPr>
        <w:pStyle w:val="Default"/>
        <w:jc w:val="both"/>
        <w:rPr>
          <w:b/>
          <w:bCs/>
          <w:i/>
          <w:sz w:val="28"/>
          <w:szCs w:val="28"/>
        </w:rPr>
      </w:pPr>
    </w:p>
    <w:p w:rsidR="00D51555" w:rsidRDefault="00D51555" w:rsidP="00D51555">
      <w:pPr>
        <w:pStyle w:val="Default"/>
        <w:jc w:val="both"/>
        <w:rPr>
          <w:b/>
          <w:bCs/>
          <w:i/>
          <w:sz w:val="28"/>
          <w:szCs w:val="28"/>
        </w:rPr>
      </w:pPr>
    </w:p>
    <w:p w:rsidR="00D51555" w:rsidRPr="00794DDB" w:rsidRDefault="00D51555" w:rsidP="00D51555">
      <w:pPr>
        <w:pStyle w:val="Default"/>
        <w:jc w:val="both"/>
        <w:rPr>
          <w:b/>
          <w:bCs/>
          <w:i/>
          <w:sz w:val="28"/>
          <w:szCs w:val="28"/>
        </w:rPr>
      </w:pPr>
      <w:r w:rsidRPr="00794DDB">
        <w:rPr>
          <w:b/>
          <w:bCs/>
          <w:i/>
          <w:sz w:val="28"/>
          <w:szCs w:val="28"/>
        </w:rPr>
        <w:t>Утвърдил:………..</w:t>
      </w:r>
    </w:p>
    <w:p w:rsidR="00D51555" w:rsidRPr="00794DDB" w:rsidRDefault="00D51555" w:rsidP="00D51555">
      <w:pPr>
        <w:pStyle w:val="Default"/>
        <w:jc w:val="both"/>
        <w:rPr>
          <w:b/>
          <w:bCs/>
          <w:i/>
          <w:sz w:val="28"/>
          <w:szCs w:val="28"/>
        </w:rPr>
      </w:pPr>
      <w:r w:rsidRPr="00794DDB">
        <w:rPr>
          <w:b/>
          <w:bCs/>
          <w:i/>
          <w:sz w:val="28"/>
          <w:szCs w:val="28"/>
        </w:rPr>
        <w:t>Директор</w:t>
      </w:r>
    </w:p>
    <w:p w:rsidR="00D51555" w:rsidRPr="00794DDB" w:rsidRDefault="00D51555" w:rsidP="00D51555">
      <w:pPr>
        <w:pStyle w:val="Default"/>
        <w:jc w:val="both"/>
        <w:rPr>
          <w:b/>
          <w:bCs/>
          <w:sz w:val="28"/>
          <w:szCs w:val="28"/>
        </w:rPr>
      </w:pPr>
      <w:r w:rsidRPr="00794DDB">
        <w:rPr>
          <w:b/>
          <w:bCs/>
          <w:i/>
          <w:sz w:val="28"/>
          <w:szCs w:val="28"/>
        </w:rPr>
        <w:t xml:space="preserve">Стефан </w:t>
      </w:r>
      <w:proofErr w:type="spellStart"/>
      <w:r w:rsidRPr="00794DDB">
        <w:rPr>
          <w:b/>
          <w:bCs/>
          <w:i/>
          <w:sz w:val="28"/>
          <w:szCs w:val="28"/>
        </w:rPr>
        <w:t>Каймаков</w:t>
      </w:r>
      <w:proofErr w:type="spellEnd"/>
    </w:p>
    <w:p w:rsidR="00851858" w:rsidRDefault="00851858">
      <w:pPr>
        <w:spacing w:after="0"/>
        <w:ind w:left="228"/>
        <w:rPr>
          <w:rFonts w:ascii="Times New Roman" w:eastAsia="Times New Roman" w:hAnsi="Times New Roman" w:cs="Times New Roman"/>
          <w:sz w:val="8"/>
        </w:rPr>
      </w:pPr>
    </w:p>
    <w:p w:rsidR="00851858" w:rsidRDefault="00851858">
      <w:pPr>
        <w:spacing w:after="0"/>
        <w:ind w:left="228"/>
        <w:rPr>
          <w:rFonts w:ascii="Times New Roman" w:eastAsia="Times New Roman" w:hAnsi="Times New Roman" w:cs="Times New Roman"/>
          <w:sz w:val="8"/>
        </w:rPr>
      </w:pPr>
    </w:p>
    <w:p w:rsidR="00851858" w:rsidRDefault="00851858">
      <w:pPr>
        <w:spacing w:after="0"/>
        <w:ind w:left="228"/>
        <w:rPr>
          <w:rFonts w:ascii="Times New Roman" w:eastAsia="Times New Roman" w:hAnsi="Times New Roman" w:cs="Times New Roman"/>
          <w:sz w:val="8"/>
        </w:rPr>
      </w:pPr>
    </w:p>
    <w:p w:rsidR="00851858" w:rsidRDefault="00851858">
      <w:pPr>
        <w:spacing w:after="0"/>
        <w:ind w:left="228"/>
      </w:pPr>
    </w:p>
    <w:tbl>
      <w:tblPr>
        <w:tblStyle w:val="TableGrid"/>
        <w:tblW w:w="12758" w:type="dxa"/>
        <w:tblInd w:w="562" w:type="dxa"/>
        <w:tblCellMar>
          <w:top w:w="12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9674"/>
      </w:tblGrid>
      <w:tr w:rsidR="00B34983" w:rsidTr="006E1254">
        <w:trPr>
          <w:trHeight w:val="118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План за действие </w:t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line="239" w:lineRule="auto"/>
              <w:ind w:left="113" w:right="559"/>
            </w:pPr>
            <w:r>
              <w:rPr>
                <w:rFonts w:ascii="Verdana" w:eastAsia="Verdana" w:hAnsi="Verdana" w:cs="Verdana"/>
                <w:sz w:val="18"/>
              </w:rPr>
              <w:t xml:space="preserve">НАЦИОНАЛНА СТРАТЕГИЯ ЗА БЕЗОПАСНОСТ НА ДВИЖЕНИЕТО ПО ПЪТИЩАТА В РЕПУБЛИКА БЪЛГАРИЯ 2021 – 2030 г. </w:t>
            </w:r>
          </w:p>
          <w:p w:rsidR="00B34983" w:rsidRDefault="0014603A">
            <w:pPr>
              <w:ind w:left="113"/>
            </w:pPr>
            <w:r>
              <w:rPr>
                <w:rFonts w:ascii="Verdana" w:eastAsia="Verdana" w:hAnsi="Verdana" w:cs="Verdana"/>
                <w:sz w:val="18"/>
              </w:rPr>
              <w:t xml:space="preserve">ПЛАН ЗА ДЕЙСТВИЕ 2021-2023 КЪМ НАЦИОНАЛНА СТРАТЕГИЯ ЗА БЕЗОПАСНОСТ НА ДВИЖЕНИЕТО ПО </w:t>
            </w:r>
          </w:p>
          <w:p w:rsidR="00B34983" w:rsidRDefault="0014603A">
            <w:pPr>
              <w:ind w:left="113"/>
            </w:pPr>
            <w:r>
              <w:rPr>
                <w:rFonts w:ascii="Verdana" w:eastAsia="Verdana" w:hAnsi="Verdana" w:cs="Verdana"/>
                <w:sz w:val="18"/>
              </w:rPr>
              <w:t xml:space="preserve">ПЪТИЩАТА В РЕПУБЛИКА БЪЛГАРИЯ 2021-2030 Г. </w:t>
            </w:r>
          </w:p>
          <w:p w:rsidR="00B34983" w:rsidRDefault="0014603A">
            <w:pPr>
              <w:ind w:left="113"/>
            </w:pPr>
            <w:r>
              <w:rPr>
                <w:rFonts w:ascii="Verdana" w:eastAsia="Verdana" w:hAnsi="Verdana" w:cs="Verdana"/>
                <w:sz w:val="18"/>
              </w:rPr>
              <w:t xml:space="preserve">СЕКТОРНА СТРАТЕГИЯ ЗА БЕЗОПАСНОСТ НА ДВИЖЕНИЕТО ПО ПЪТИЩАТА (2021-2030) </w:t>
            </w:r>
          </w:p>
        </w:tc>
      </w:tr>
      <w:tr w:rsidR="00B34983" w:rsidTr="006E1254">
        <w:trPr>
          <w:trHeight w:val="66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B34983" w:rsidRPr="00777FAE" w:rsidRDefault="00C54204" w:rsidP="00C54204">
            <w:pPr>
              <w:ind w:left="108"/>
            </w:pPr>
            <w:r w:rsidRPr="00C54204">
              <w:rPr>
                <w:rFonts w:ascii="Verdana" w:eastAsia="Verdana" w:hAnsi="Verdana" w:cs="Verdana"/>
                <w:color w:val="auto"/>
                <w:sz w:val="18"/>
              </w:rPr>
              <w:t>Училище</w:t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777FAE" w:rsidRPr="003F2C18" w:rsidRDefault="00C77429">
            <w:pPr>
              <w:ind w:left="2"/>
              <w:rPr>
                <w:sz w:val="40"/>
                <w:szCs w:val="40"/>
              </w:rPr>
            </w:pPr>
            <w:r w:rsidRPr="003F2C18">
              <w:rPr>
                <w:rFonts w:ascii="Times New Roman" w:eastAsia="Times New Roman" w:hAnsi="Times New Roman" w:cs="Times New Roman"/>
                <w:sz w:val="40"/>
                <w:szCs w:val="40"/>
              </w:rPr>
              <w:t>ОУ „Любен Каравелов“</w:t>
            </w:r>
          </w:p>
        </w:tc>
      </w:tr>
    </w:tbl>
    <w:p w:rsidR="00B34983" w:rsidRDefault="0014603A" w:rsidP="007A405C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34983" w:rsidRDefault="0014603A" w:rsidP="003F2C18">
      <w:pPr>
        <w:shd w:val="clear" w:color="auto" w:fill="D9D9D9"/>
        <w:spacing w:after="178"/>
        <w:ind w:left="567" w:right="-1"/>
        <w:jc w:val="center"/>
      </w:pPr>
      <w:r>
        <w:rPr>
          <w:rFonts w:ascii="Verdana" w:eastAsia="Verdana" w:hAnsi="Verdana" w:cs="Verdana"/>
          <w:b/>
          <w:sz w:val="32"/>
        </w:rPr>
        <w:t xml:space="preserve">ПЛАН ЗА ДЕЙСТВИЕ </w:t>
      </w:r>
    </w:p>
    <w:p w:rsidR="00B34983" w:rsidRDefault="0014603A" w:rsidP="003F2C18">
      <w:pPr>
        <w:shd w:val="clear" w:color="auto" w:fill="D9D9D9"/>
        <w:spacing w:after="0"/>
        <w:ind w:left="567" w:hanging="10"/>
        <w:jc w:val="center"/>
      </w:pPr>
      <w:r>
        <w:rPr>
          <w:rFonts w:ascii="Verdana" w:eastAsia="Verdana" w:hAnsi="Verdana" w:cs="Verdana"/>
          <w:b/>
          <w:sz w:val="24"/>
        </w:rPr>
        <w:t>ЗА БЕЗОПАСНОСТ НА ДВИЖЕНИЕТО ПО ПЪТИЩАТА</w:t>
      </w:r>
    </w:p>
    <w:p w:rsidR="00B34983" w:rsidRDefault="0014603A" w:rsidP="003F2C18">
      <w:pPr>
        <w:shd w:val="clear" w:color="auto" w:fill="D9D9D9"/>
        <w:spacing w:after="0"/>
        <w:ind w:left="567"/>
        <w:jc w:val="center"/>
      </w:pPr>
      <w:r>
        <w:rPr>
          <w:rFonts w:ascii="Verdana" w:eastAsia="Verdana" w:hAnsi="Verdana" w:cs="Verdana"/>
          <w:b/>
          <w:sz w:val="24"/>
        </w:rPr>
        <w:t xml:space="preserve">НА </w:t>
      </w:r>
      <w:r w:rsidR="00C77429">
        <w:rPr>
          <w:rFonts w:ascii="Verdana" w:eastAsia="Verdana" w:hAnsi="Verdana" w:cs="Verdana"/>
          <w:b/>
          <w:sz w:val="24"/>
        </w:rPr>
        <w:t>ОУ „ЛЮБЕН КАРАВЕЛОВ“</w:t>
      </w:r>
    </w:p>
    <w:p w:rsidR="00B34983" w:rsidRDefault="0014603A">
      <w:pPr>
        <w:spacing w:after="0"/>
        <w:ind w:left="1169" w:right="380" w:hanging="10"/>
      </w:pPr>
      <w:r>
        <w:rPr>
          <w:rFonts w:ascii="Verdana" w:eastAsia="Verdana" w:hAnsi="Verdana" w:cs="Verdana"/>
          <w:b/>
          <w:color w:val="404040"/>
          <w:sz w:val="20"/>
        </w:rPr>
        <w:t>Съкращения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B34983" w:rsidRDefault="0014603A">
      <w:pPr>
        <w:spacing w:after="62"/>
        <w:ind w:left="905"/>
      </w:pPr>
      <w:r>
        <w:rPr>
          <w:noProof/>
        </w:rPr>
        <mc:AlternateContent>
          <mc:Choice Requires="wpg">
            <w:drawing>
              <wp:inline distT="0" distB="0" distL="0" distR="0">
                <wp:extent cx="8498840" cy="6350"/>
                <wp:effectExtent l="0" t="0" r="0" b="0"/>
                <wp:docPr id="47577" name="Group 47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8840" cy="6350"/>
                          <a:chOff x="0" y="0"/>
                          <a:chExt cx="8498840" cy="6350"/>
                        </a:xfrm>
                      </wpg:grpSpPr>
                      <wps:wsp>
                        <wps:cNvPr id="60320" name="Shape 60320"/>
                        <wps:cNvSpPr/>
                        <wps:spPr>
                          <a:xfrm>
                            <a:off x="0" y="0"/>
                            <a:ext cx="8498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840" h="9144">
                                <a:moveTo>
                                  <a:pt x="0" y="0"/>
                                </a:moveTo>
                                <a:lnTo>
                                  <a:pt x="8498840" y="0"/>
                                </a:lnTo>
                                <a:lnTo>
                                  <a:pt x="8498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77" style="width:669.2pt;height:0.5pt;mso-position-horizontal-relative:char;mso-position-vertical-relative:line" coordsize="84988,63">
                <v:shape id="Shape 60321" style="position:absolute;width:84988;height:91;left:0;top:0;" coordsize="8498840,9144" path="m0,0l8498840,0l84988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34983" w:rsidRDefault="0014603A">
      <w:pPr>
        <w:spacing w:after="55"/>
        <w:ind w:left="228"/>
      </w:pPr>
      <w:r>
        <w:rPr>
          <w:rFonts w:ascii="Verdana" w:eastAsia="Verdana" w:hAnsi="Verdana" w:cs="Verdana"/>
          <w:b/>
        </w:rPr>
        <w:t xml:space="preserve"> </w:t>
      </w:r>
    </w:p>
    <w:p w:rsidR="00B34983" w:rsidRDefault="0014603A" w:rsidP="00C45E05">
      <w:pPr>
        <w:spacing w:after="0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РУО: Регионални управления на образованието </w:t>
      </w:r>
    </w:p>
    <w:p w:rsidR="00B34983" w:rsidRDefault="0014603A" w:rsidP="00C45E05">
      <w:pPr>
        <w:spacing w:after="0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ДГ: Детски градини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НДД: Национален дворец на децата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ЦИОО: Център за информационно осигуряване на образованието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ЦПЛР: Центрове за подкрепа на личностното развитие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ГДНП: Главна дирекция национална полиция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ДССД: Дирекция „Стопански и счетоводни дейности“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ДПСРККР: Дирекция „Политики за стратегическо развитие квалификация и кариерно развитие“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ДПО: Дирекция „Приобщаващо образование“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ДСПУО: Дирекция „Съдържание на предучилищното и училищното образование“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ДПОО: Дирекция „Професионално образование и обучение“ </w:t>
      </w:r>
    </w:p>
    <w:p w:rsidR="00B34983" w:rsidRDefault="0014603A" w:rsidP="00C45E05">
      <w:pPr>
        <w:spacing w:after="4" w:line="240" w:lineRule="auto"/>
        <w:ind w:left="1154" w:right="4659" w:hanging="10"/>
        <w:jc w:val="both"/>
      </w:pPr>
      <w:r>
        <w:rPr>
          <w:rFonts w:ascii="Verdana" w:eastAsia="Verdana" w:hAnsi="Verdana" w:cs="Verdana"/>
          <w:sz w:val="20"/>
        </w:rPr>
        <w:lastRenderedPageBreak/>
        <w:t>ВИКБДП: Вътрешно институционални комисии по безопасност на движението</w:t>
      </w:r>
      <w:r w:rsidR="00262613">
        <w:rPr>
          <w:rFonts w:ascii="Verdana" w:eastAsia="Verdana" w:hAnsi="Verdana" w:cs="Verdana"/>
          <w:sz w:val="20"/>
        </w:rPr>
        <w:t xml:space="preserve"> по пътищата /за училищата са УКБДП/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ОБКБДП: Общинска комисия по безопасност на движението по пътищата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ОКБДП: Областна комисия по БДП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СБА: Съюз на българските автомобилисти </w:t>
      </w:r>
    </w:p>
    <w:p w:rsidR="00B34983" w:rsidRDefault="0014603A" w:rsidP="00C45E05">
      <w:pPr>
        <w:spacing w:after="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БЧК: Български червен кръст </w:t>
      </w:r>
    </w:p>
    <w:p w:rsidR="00B34983" w:rsidRDefault="0014603A" w:rsidP="00C45E05">
      <w:pPr>
        <w:spacing w:after="284" w:line="240" w:lineRule="auto"/>
        <w:ind w:left="1154" w:right="795" w:hanging="10"/>
        <w:jc w:val="both"/>
      </w:pPr>
      <w:r>
        <w:rPr>
          <w:rFonts w:ascii="Verdana" w:eastAsia="Verdana" w:hAnsi="Verdana" w:cs="Verdana"/>
          <w:sz w:val="20"/>
        </w:rPr>
        <w:t xml:space="preserve">НДПК: Национално движение по приложно колоездене </w:t>
      </w:r>
    </w:p>
    <w:p w:rsidR="00B34983" w:rsidRDefault="0014603A" w:rsidP="00826E33">
      <w:pPr>
        <w:spacing w:after="0"/>
        <w:ind w:left="228"/>
        <w:jc w:val="right"/>
      </w:pPr>
      <w:r>
        <w:rPr>
          <w:rFonts w:ascii="Verdana" w:eastAsia="Verdana" w:hAnsi="Verdana" w:cs="Verdana"/>
          <w:sz w:val="14"/>
        </w:rPr>
        <w:t xml:space="preserve"> </w:t>
      </w:r>
      <w:r w:rsidR="006B7201">
        <w:rPr>
          <w:rFonts w:ascii="Verdana" w:eastAsia="Verdana" w:hAnsi="Verdana" w:cs="Verdana"/>
          <w:sz w:val="14"/>
        </w:rPr>
        <w:t xml:space="preserve">Планът за действие по БДП е утвърден със Заповед на Директора № </w:t>
      </w:r>
      <w:r w:rsidR="00504A51">
        <w:rPr>
          <w:rFonts w:ascii="Verdana" w:eastAsia="Verdana" w:hAnsi="Verdana" w:cs="Verdana"/>
          <w:sz w:val="14"/>
        </w:rPr>
        <w:t>143/21.02.2023 г.</w:t>
      </w:r>
    </w:p>
    <w:p w:rsidR="00B34983" w:rsidRDefault="0014603A">
      <w:pPr>
        <w:spacing w:after="74"/>
      </w:pP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>
      <w:pPr>
        <w:spacing w:after="0"/>
      </w:pPr>
      <w:r>
        <w:rPr>
          <w:rFonts w:ascii="Verdana" w:eastAsia="Verdana" w:hAnsi="Verdana" w:cs="Verdana"/>
          <w:sz w:val="29"/>
        </w:rPr>
        <w:t xml:space="preserve"> </w:t>
      </w:r>
    </w:p>
    <w:p w:rsidR="00B34983" w:rsidRPr="00777FAE" w:rsidRDefault="0014603A" w:rsidP="00777FAE">
      <w:pPr>
        <w:spacing w:after="0"/>
        <w:ind w:left="926" w:right="380" w:hanging="10"/>
        <w:rPr>
          <w:rFonts w:ascii="Verdana" w:eastAsia="Verdana" w:hAnsi="Verdana" w:cs="Verdana"/>
          <w:b/>
          <w:color w:val="404040"/>
          <w:sz w:val="20"/>
        </w:rPr>
      </w:pPr>
      <w:r>
        <w:rPr>
          <w:rFonts w:ascii="Verdana" w:eastAsia="Verdana" w:hAnsi="Verdana" w:cs="Verdana"/>
          <w:b/>
          <w:color w:val="404040"/>
          <w:sz w:val="20"/>
        </w:rPr>
        <w:t>Обща информация за Плана за действие за безопасно</w:t>
      </w:r>
      <w:r w:rsidR="00777FAE">
        <w:rPr>
          <w:rFonts w:ascii="Verdana" w:eastAsia="Verdana" w:hAnsi="Verdana" w:cs="Verdana"/>
          <w:b/>
          <w:color w:val="404040"/>
          <w:sz w:val="20"/>
        </w:rPr>
        <w:t xml:space="preserve">ст на движението по пътищата на </w:t>
      </w:r>
      <w:r w:rsidR="008455D6">
        <w:rPr>
          <w:rFonts w:ascii="Verdana" w:eastAsia="Verdana" w:hAnsi="Verdana" w:cs="Verdana"/>
          <w:b/>
          <w:color w:val="404040"/>
          <w:sz w:val="20"/>
        </w:rPr>
        <w:t>ОУ „Любен Каравелов“</w:t>
      </w:r>
    </w:p>
    <w:p w:rsidR="00B34983" w:rsidRDefault="0014603A">
      <w:pPr>
        <w:spacing w:after="330"/>
        <w:ind w:right="76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8476615" cy="6350"/>
                <wp:effectExtent l="0" t="0" r="0" b="0"/>
                <wp:docPr id="49054" name="Group 49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6615" cy="6350"/>
                          <a:chOff x="0" y="0"/>
                          <a:chExt cx="8476615" cy="6350"/>
                        </a:xfrm>
                      </wpg:grpSpPr>
                      <wps:wsp>
                        <wps:cNvPr id="60322" name="Shape 60322"/>
                        <wps:cNvSpPr/>
                        <wps:spPr>
                          <a:xfrm>
                            <a:off x="0" y="0"/>
                            <a:ext cx="84766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6615" h="9144">
                                <a:moveTo>
                                  <a:pt x="0" y="0"/>
                                </a:moveTo>
                                <a:lnTo>
                                  <a:pt x="8476615" y="0"/>
                                </a:lnTo>
                                <a:lnTo>
                                  <a:pt x="84766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54" style="width:667.45pt;height:0.5pt;mso-position-horizontal-relative:char;mso-position-vertical-relative:line" coordsize="84766,63">
                <v:shape id="Shape 60323" style="position:absolute;width:84766;height:91;left:0;top:0;" coordsize="8476615,9144" path="m0,0l8476615,0l84766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sz w:val="2"/>
        </w:rPr>
        <w:t xml:space="preserve"> </w:t>
      </w:r>
    </w:p>
    <w:p w:rsidR="00B34983" w:rsidRDefault="0014603A" w:rsidP="00D755BD">
      <w:pPr>
        <w:spacing w:after="168" w:line="250" w:lineRule="auto"/>
        <w:ind w:left="941" w:right="105" w:hanging="10"/>
        <w:jc w:val="both"/>
      </w:pPr>
      <w:r>
        <w:rPr>
          <w:rFonts w:ascii="Verdana" w:eastAsia="Verdana" w:hAnsi="Verdana" w:cs="Verdana"/>
          <w:sz w:val="20"/>
        </w:rPr>
        <w:t xml:space="preserve">Планът е разработен в изпълнение на Националната стратегия за безопасност на движението по пътищата в Република България 2021 - 2030 г., Плана за действие 2021 - 2023 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Министерството на образованието и науката. </w:t>
      </w:r>
    </w:p>
    <w:p w:rsidR="00B34983" w:rsidRDefault="0014603A" w:rsidP="00D755BD">
      <w:pPr>
        <w:spacing w:after="162"/>
        <w:ind w:left="926" w:right="105" w:hanging="10"/>
        <w:jc w:val="both"/>
      </w:pPr>
      <w:r>
        <w:rPr>
          <w:rFonts w:ascii="Verdana" w:eastAsia="Verdana" w:hAnsi="Verdana" w:cs="Verdana"/>
          <w:color w:val="404040"/>
          <w:sz w:val="20"/>
        </w:rPr>
        <w:t>Планът обхваща третата година от действието на Националната стратегия за безопасност на движението по пътищата в Република България 2021 - 2030 г. и Плана за действие 2021-2023 към Националната стратегия за безопасност на движението по пътищата и представя в обобщен вид мерките за безопасност на движението по пътищата, обособени по стратегически цели и тематични направления.</w:t>
      </w: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 w:rsidP="00D755BD">
      <w:pPr>
        <w:spacing w:after="162"/>
        <w:ind w:left="926" w:right="105" w:hanging="10"/>
        <w:jc w:val="both"/>
      </w:pPr>
      <w:r>
        <w:rPr>
          <w:rFonts w:ascii="Verdana" w:eastAsia="Verdana" w:hAnsi="Verdana" w:cs="Verdana"/>
          <w:color w:val="404040"/>
          <w:sz w:val="20"/>
        </w:rPr>
        <w:t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 и източника на информация за докладване на изпълнението на мярката, дефинирани от определените в Националната стратегия за безопасност на движението по пътищата в Република България 2021 - 2030 г. и Плана за действие 2021 - 2023 към Националната стратегия за безопасност на движението по пътищата.</w:t>
      </w: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 w:rsidP="00D755BD">
      <w:pPr>
        <w:spacing w:after="162"/>
        <w:ind w:left="926" w:right="105" w:hanging="10"/>
        <w:jc w:val="both"/>
      </w:pPr>
      <w:r>
        <w:rPr>
          <w:rFonts w:ascii="Verdana" w:eastAsia="Verdana" w:hAnsi="Verdana" w:cs="Verdana"/>
          <w:color w:val="404040"/>
          <w:sz w:val="20"/>
        </w:rPr>
        <w:t>Планът е обект на актуализация в началото на всяка учебна година за съответните години от Плана за действие 2021 - 2023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</w:t>
      </w: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 w:rsidP="00D755BD">
      <w:pPr>
        <w:spacing w:after="0"/>
        <w:ind w:left="926" w:right="105" w:hanging="10"/>
        <w:jc w:val="both"/>
      </w:pPr>
      <w:r>
        <w:rPr>
          <w:rFonts w:ascii="Verdana" w:eastAsia="Verdana" w:hAnsi="Verdana" w:cs="Verdana"/>
          <w:color w:val="404040"/>
          <w:sz w:val="20"/>
        </w:rPr>
        <w:t xml:space="preserve">Планът за действие се отчита по разработени от ДАБДП образци, приложени към Плана за действие 2021 - 2023 към </w:t>
      </w:r>
    </w:p>
    <w:p w:rsidR="00B34983" w:rsidRDefault="0014603A">
      <w:pPr>
        <w:spacing w:after="0"/>
        <w:ind w:left="926" w:right="797" w:hanging="10"/>
        <w:jc w:val="both"/>
      </w:pPr>
      <w:r>
        <w:rPr>
          <w:rFonts w:ascii="Verdana" w:eastAsia="Verdana" w:hAnsi="Verdana" w:cs="Verdana"/>
          <w:color w:val="404040"/>
          <w:sz w:val="20"/>
        </w:rPr>
        <w:t>Националната стратегия за безопасност на движението по пътищата</w:t>
      </w: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>
      <w:pPr>
        <w:spacing w:after="0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</w:p>
    <w:p w:rsidR="00B34983" w:rsidRDefault="0014603A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14603A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B34983">
      <w:pPr>
        <w:spacing w:after="0"/>
      </w:pPr>
    </w:p>
    <w:p w:rsidR="00B34983" w:rsidRDefault="0014603A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B34983" w:rsidRDefault="00B34983">
      <w:pPr>
        <w:spacing w:after="0"/>
        <w:ind w:left="-199" w:right="15233"/>
      </w:pPr>
    </w:p>
    <w:tbl>
      <w:tblPr>
        <w:tblStyle w:val="TableGrid"/>
        <w:tblW w:w="13591" w:type="dxa"/>
        <w:tblInd w:w="154" w:type="dxa"/>
        <w:tblCellMar>
          <w:top w:w="58" w:type="dxa"/>
          <w:left w:w="2" w:type="dxa"/>
          <w:bottom w:w="4" w:type="dxa"/>
          <w:right w:w="72" w:type="dxa"/>
        </w:tblCellMar>
        <w:tblLook w:val="04A0" w:firstRow="1" w:lastRow="0" w:firstColumn="1" w:lastColumn="0" w:noHBand="0" w:noVBand="1"/>
      </w:tblPr>
      <w:tblGrid>
        <w:gridCol w:w="767"/>
        <w:gridCol w:w="3070"/>
        <w:gridCol w:w="2510"/>
        <w:gridCol w:w="110"/>
        <w:gridCol w:w="1568"/>
        <w:gridCol w:w="117"/>
        <w:gridCol w:w="2462"/>
        <w:gridCol w:w="2987"/>
      </w:tblGrid>
      <w:tr w:rsidR="00B34983" w:rsidTr="00D755BD">
        <w:trPr>
          <w:trHeight w:val="753"/>
        </w:trPr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34983" w:rsidRDefault="0014603A"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ТЕМАТИЧНО НАПРАВЛЕНИЕ 1: УПРАВЛЕНИЕ, ОСНОВАНО НА ИНТЕГРИТЕТ </w:t>
            </w:r>
          </w:p>
        </w:tc>
      </w:tr>
      <w:tr w:rsidR="00B34983" w:rsidTr="00D755BD">
        <w:trPr>
          <w:trHeight w:val="200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34983" w:rsidRDefault="00777FAE">
            <w:pPr>
              <w:ind w:left="108" w:right="148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 </w:t>
            </w:r>
          </w:p>
          <w:p w:rsidR="00777FAE" w:rsidRDefault="00777FAE">
            <w:pPr>
              <w:ind w:left="108" w:right="148"/>
            </w:pPr>
            <w:r>
              <w:rPr>
                <w:rFonts w:ascii="Verdana" w:eastAsia="Verdana" w:hAnsi="Verdana" w:cs="Verdana"/>
                <w:b/>
                <w:sz w:val="20"/>
              </w:rPr>
              <w:t>№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4983" w:rsidRDefault="0014603A">
            <w:pPr>
              <w:spacing w:after="62"/>
              <w:ind w:left="10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 </w:t>
            </w:r>
          </w:p>
          <w:p w:rsidR="00B34983" w:rsidRDefault="0014603A">
            <w:pPr>
              <w:ind w:left="10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Наименование на мярката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4983" w:rsidRDefault="0014603A">
            <w:pPr>
              <w:spacing w:after="62"/>
              <w:ind w:left="11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3 </w:t>
            </w:r>
          </w:p>
          <w:p w:rsidR="00B34983" w:rsidRDefault="0014603A">
            <w:pPr>
              <w:ind w:left="11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Ефект на мярката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4983" w:rsidRDefault="0014603A">
            <w:pPr>
              <w:spacing w:after="62"/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4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Отговорник по  мярката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B34983" w:rsidRDefault="00777FAE" w:rsidP="00777FAE">
            <w:r>
              <w:rPr>
                <w:rFonts w:ascii="Verdana" w:eastAsia="Verdana" w:hAnsi="Verdana" w:cs="Verdana"/>
                <w:b/>
                <w:sz w:val="20"/>
              </w:rPr>
              <w:t xml:space="preserve">  </w:t>
            </w:r>
            <w:r w:rsidR="0014603A">
              <w:rPr>
                <w:rFonts w:ascii="Verdana" w:eastAsia="Verdana" w:hAnsi="Verdana" w:cs="Verdana"/>
                <w:b/>
                <w:sz w:val="20"/>
              </w:rPr>
              <w:t xml:space="preserve">5 </w:t>
            </w:r>
          </w:p>
          <w:p w:rsidR="00B34983" w:rsidRDefault="0014603A">
            <w:pPr>
              <w:spacing w:after="2"/>
              <w:ind w:left="110" w:right="10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Индикатор и срок по мярката, докладвани на заседания на </w:t>
            </w:r>
            <w:r w:rsidR="00777FAE">
              <w:rPr>
                <w:rFonts w:ascii="Verdana" w:eastAsia="Verdana" w:hAnsi="Verdana" w:cs="Verdana"/>
                <w:b/>
                <w:sz w:val="20"/>
              </w:rPr>
              <w:t>ВИК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БДП и в годишния доклад за изпълнение на политиката по БДП </w:t>
            </w:r>
          </w:p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34983" w:rsidRDefault="0014603A">
            <w:pPr>
              <w:spacing w:after="62"/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6 </w:t>
            </w:r>
          </w:p>
          <w:p w:rsidR="00B34983" w:rsidRDefault="0014603A">
            <w:pPr>
              <w:ind w:left="108" w:right="305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Източник на информация за докладване на изпълнението на мярката </w:t>
            </w:r>
          </w:p>
        </w:tc>
      </w:tr>
      <w:tr w:rsidR="00B34983" w:rsidTr="00D755BD">
        <w:trPr>
          <w:trHeight w:val="966"/>
        </w:trPr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1CC"/>
          </w:tcPr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1.1 </w:t>
            </w:r>
          </w:p>
        </w:tc>
        <w:tc>
          <w:tcPr>
            <w:tcW w:w="128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spacing w:after="60"/>
              <w:ind w:left="11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34983" w:rsidRDefault="0014603A">
            <w:pPr>
              <w:ind w:left="11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Прилагане на интегрирана система за планиране, изпълнение, отчитане, контрол и оценка на политика по БДП в единна стратегическа рамка </w:t>
            </w:r>
          </w:p>
        </w:tc>
      </w:tr>
      <w:tr w:rsidR="00B34983" w:rsidTr="00D755BD">
        <w:trPr>
          <w:trHeight w:val="250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1.1.1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B2471">
            <w:pPr>
              <w:ind w:left="113" w:right="327"/>
              <w:jc w:val="both"/>
            </w:pPr>
            <w:r>
              <w:rPr>
                <w:rFonts w:ascii="Verdana" w:eastAsia="Verdana" w:hAnsi="Verdana" w:cs="Verdana"/>
                <w:sz w:val="20"/>
              </w:rPr>
              <w:t>Отчитане изпълнението на Плана за действие за БДП за 202</w:t>
            </w:r>
            <w:r w:rsidR="00BB2471">
              <w:rPr>
                <w:rFonts w:ascii="Verdana" w:eastAsia="Verdana" w:hAnsi="Verdana" w:cs="Verdana"/>
                <w:sz w:val="20"/>
              </w:rPr>
              <w:t>3</w:t>
            </w:r>
            <w:r>
              <w:rPr>
                <w:rFonts w:ascii="Verdana" w:eastAsia="Verdana" w:hAnsi="Verdana" w:cs="Verdana"/>
                <w:sz w:val="20"/>
              </w:rPr>
              <w:t xml:space="preserve"> г. пред  ДАБДП.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B2471">
            <w:pPr>
              <w:ind w:left="113" w:right="336"/>
            </w:pPr>
            <w:r>
              <w:rPr>
                <w:rFonts w:ascii="Verdana" w:eastAsia="Verdana" w:hAnsi="Verdana" w:cs="Verdana"/>
                <w:sz w:val="20"/>
              </w:rPr>
              <w:t>Годишна отчетност на цялостната политика по БДП за  202</w:t>
            </w:r>
            <w:r w:rsidR="00BB2471">
              <w:rPr>
                <w:rFonts w:ascii="Verdana" w:eastAsia="Verdana" w:hAnsi="Verdana" w:cs="Verdana"/>
                <w:sz w:val="20"/>
              </w:rPr>
              <w:t>3</w:t>
            </w:r>
            <w:r>
              <w:rPr>
                <w:rFonts w:ascii="Verdana" w:eastAsia="Verdana" w:hAnsi="Verdana" w:cs="Verdana"/>
                <w:sz w:val="20"/>
              </w:rPr>
              <w:t xml:space="preserve"> г. на база предоставена от </w:t>
            </w:r>
            <w:r w:rsidR="00673CE7">
              <w:rPr>
                <w:rFonts w:ascii="Verdana" w:eastAsia="Verdana" w:hAnsi="Verdana" w:cs="Verdana"/>
                <w:sz w:val="20"/>
              </w:rPr>
              <w:t xml:space="preserve">училището </w:t>
            </w:r>
            <w:r>
              <w:rPr>
                <w:rFonts w:ascii="Verdana" w:eastAsia="Verdana" w:hAnsi="Verdana" w:cs="Verdana"/>
                <w:sz w:val="20"/>
              </w:rPr>
              <w:t xml:space="preserve">и РУО информация.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AE" w:rsidRDefault="00777FAE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</w:t>
            </w:r>
            <w:r w:rsidR="00CB3FC1">
              <w:rPr>
                <w:rFonts w:ascii="Verdana" w:eastAsia="Verdana" w:hAnsi="Verdana" w:cs="Verdana"/>
                <w:sz w:val="20"/>
              </w:rPr>
              <w:t>, училищна комисия по БДП</w:t>
            </w:r>
          </w:p>
          <w:p w:rsidR="00777FAE" w:rsidRDefault="00777FAE">
            <w:pPr>
              <w:ind w:left="110"/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7FAE" w:rsidRDefault="00777FAE" w:rsidP="00777FAE">
            <w:pPr>
              <w:spacing w:line="251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 </w:t>
            </w:r>
            <w:r>
              <w:rPr>
                <w:rFonts w:ascii="Verdana" w:eastAsia="Verdana" w:hAnsi="Verdana" w:cs="Verdana"/>
                <w:sz w:val="20"/>
              </w:rPr>
              <w:tab/>
            </w:r>
            <w:r>
              <w:t xml:space="preserve">за </w:t>
            </w:r>
            <w:r>
              <w:rPr>
                <w:rFonts w:ascii="Verdana" w:eastAsia="Verdana" w:hAnsi="Verdana" w:cs="Verdana"/>
                <w:sz w:val="20"/>
              </w:rPr>
              <w:t>изпълнение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>на мерки по БДП за 202</w:t>
            </w:r>
            <w:r w:rsidR="00BB2471">
              <w:rPr>
                <w:rFonts w:ascii="Verdana" w:eastAsia="Verdana" w:hAnsi="Verdana" w:cs="Verdana"/>
                <w:sz w:val="20"/>
              </w:rPr>
              <w:t>3</w:t>
            </w:r>
            <w:r>
              <w:rPr>
                <w:rFonts w:ascii="Verdana" w:eastAsia="Verdana" w:hAnsi="Verdana" w:cs="Verdana"/>
                <w:sz w:val="20"/>
              </w:rPr>
              <w:t xml:space="preserve"> г. на ниво ДГ, училище, ЦПЛР и ДССД. </w:t>
            </w:r>
          </w:p>
          <w:p w:rsidR="00B34983" w:rsidRDefault="00777FAE" w:rsidP="00BB2471"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10 януари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777FAE">
            <w:pPr>
              <w:ind w:right="184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 за изпълнение на мерките на ниво  </w:t>
            </w:r>
            <w:r w:rsidR="00CB3FC1">
              <w:rPr>
                <w:rFonts w:ascii="Verdana" w:eastAsia="Verdana" w:hAnsi="Verdana" w:cs="Verdana"/>
                <w:sz w:val="20"/>
              </w:rPr>
              <w:t xml:space="preserve">училище </w:t>
            </w:r>
            <w:r>
              <w:rPr>
                <w:rFonts w:ascii="Verdana" w:eastAsia="Verdana" w:hAnsi="Verdana" w:cs="Verdana"/>
                <w:sz w:val="20"/>
              </w:rPr>
              <w:t xml:space="preserve">и спрямо служителите в държавната администрация. </w:t>
            </w:r>
          </w:p>
          <w:p w:rsidR="00D7424A" w:rsidRDefault="00D7424A" w:rsidP="00D7424A">
            <w:pPr>
              <w:ind w:right="184"/>
            </w:pPr>
            <w:r>
              <w:rPr>
                <w:rFonts w:ascii="Verdana" w:eastAsia="Verdana" w:hAnsi="Verdana" w:cs="Verdana"/>
                <w:sz w:val="20"/>
              </w:rPr>
              <w:t>ВИКБДП отчита информацията към РУО в края на календарната година</w:t>
            </w:r>
          </w:p>
        </w:tc>
      </w:tr>
    </w:tbl>
    <w:p w:rsidR="00B34983" w:rsidRDefault="00B34983">
      <w:pPr>
        <w:spacing w:after="0"/>
        <w:ind w:left="-199" w:right="15233"/>
      </w:pPr>
    </w:p>
    <w:tbl>
      <w:tblPr>
        <w:tblStyle w:val="TableGrid"/>
        <w:tblW w:w="13736" w:type="dxa"/>
        <w:tblInd w:w="151" w:type="dxa"/>
        <w:tblCellMar>
          <w:top w:w="54" w:type="dxa"/>
          <w:left w:w="5" w:type="dxa"/>
          <w:bottom w:w="6" w:type="dxa"/>
          <w:right w:w="29" w:type="dxa"/>
        </w:tblCellMar>
        <w:tblLook w:val="04A0" w:firstRow="1" w:lastRow="0" w:firstColumn="1" w:lastColumn="0" w:noHBand="0" w:noVBand="1"/>
      </w:tblPr>
      <w:tblGrid>
        <w:gridCol w:w="828"/>
        <w:gridCol w:w="3383"/>
        <w:gridCol w:w="2772"/>
        <w:gridCol w:w="1864"/>
        <w:gridCol w:w="2728"/>
        <w:gridCol w:w="2161"/>
      </w:tblGrid>
      <w:tr w:rsidR="00B34983" w:rsidTr="00264C8D">
        <w:trPr>
          <w:trHeight w:val="551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1.1.2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3A2C40" w:rsidP="003A2C40">
            <w:pPr>
              <w:ind w:left="106" w:right="40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Националната стратегия за </w:t>
            </w:r>
            <w:r w:rsidR="0014603A">
              <w:rPr>
                <w:rFonts w:ascii="Verdana" w:eastAsia="Verdana" w:hAnsi="Verdana" w:cs="Verdana"/>
                <w:sz w:val="20"/>
              </w:rPr>
              <w:t>БДП за периода 2021 - 2030 г. и всички произтичащи от нея документи от  компетентните държавни стр</w:t>
            </w:r>
            <w:r>
              <w:rPr>
                <w:rFonts w:ascii="Verdana" w:eastAsia="Verdana" w:hAnsi="Verdana" w:cs="Verdana"/>
                <w:sz w:val="20"/>
              </w:rPr>
              <w:t xml:space="preserve">уктури на централно, областно, 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общинско </w:t>
            </w:r>
            <w:r>
              <w:rPr>
                <w:rFonts w:ascii="Verdana" w:eastAsia="Verdana" w:hAnsi="Verdana" w:cs="Verdana"/>
                <w:sz w:val="20"/>
              </w:rPr>
              <w:t xml:space="preserve">и институционално 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ниво.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4983" w:rsidRDefault="0014603A">
            <w:pPr>
              <w:spacing w:after="74" w:line="241" w:lineRule="auto"/>
              <w:ind w:left="110" w:right="3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политиката по БДП в единна стратегическа рамка съгласно формулираните дългосрочни управленски цели на политиката по БДП в условията на обединени виждания и усилия на заинтересованите страни в съвместна работа за постигане  на обща визия. </w:t>
            </w:r>
          </w:p>
          <w:p w:rsidR="00B34983" w:rsidRDefault="0014603A" w:rsidP="00262613">
            <w:pPr>
              <w:spacing w:after="1" w:line="241" w:lineRule="auto"/>
              <w:ind w:left="110" w:right="492"/>
              <w:jc w:val="both"/>
            </w:pPr>
            <w:r>
              <w:rPr>
                <w:rFonts w:ascii="Verdana" w:eastAsia="Verdana" w:hAnsi="Verdana" w:cs="Verdana"/>
                <w:sz w:val="20"/>
              </w:rPr>
              <w:t>Интегриране на политиката по БДП в секторните поли</w:t>
            </w:r>
            <w:r w:rsidR="003A2C40">
              <w:rPr>
                <w:rFonts w:ascii="Verdana" w:eastAsia="Verdana" w:hAnsi="Verdana" w:cs="Verdana"/>
                <w:sz w:val="20"/>
              </w:rPr>
              <w:t xml:space="preserve">тики  на компетентните държавни </w:t>
            </w:r>
            <w:r>
              <w:rPr>
                <w:rFonts w:ascii="Verdana" w:eastAsia="Verdana" w:hAnsi="Verdana" w:cs="Verdana"/>
                <w:sz w:val="20"/>
              </w:rPr>
              <w:t xml:space="preserve">институции.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2E" w:rsidRDefault="0011002E" w:rsidP="0011002E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 w:rsidP="00777FAE">
            <w:pPr>
              <w:ind w:left="108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9"/>
              <w:ind w:left="108" w:right="70"/>
            </w:pPr>
            <w:r>
              <w:rPr>
                <w:rFonts w:ascii="Verdana" w:eastAsia="Verdana" w:hAnsi="Verdana" w:cs="Verdana"/>
                <w:sz w:val="20"/>
              </w:rPr>
              <w:t xml:space="preserve">Разработени и приложени публични политики за БДП чрез взаимосвързани секторни стратегии по БДП,  планове за действие, закони, подзаконови нормативни актове, концепции и др., както и свързаните с тях административни актове, издавани от органите на изпълнителната власт.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777FAE">
            <w:pPr>
              <w:ind w:right="307"/>
            </w:pPr>
            <w:r>
              <w:rPr>
                <w:rFonts w:ascii="Verdana" w:eastAsia="Verdana" w:hAnsi="Verdana" w:cs="Verdana"/>
                <w:sz w:val="20"/>
              </w:rPr>
              <w:t xml:space="preserve">Секторни стратегии за БДП, планове за действие, закони, подзаконови нормативни актове, концепции и др., както и свързаните с тях административни актове, издавани от органите на изпълнителната власт. </w:t>
            </w:r>
            <w:r>
              <w:rPr>
                <w:rFonts w:ascii="Verdana" w:eastAsia="Verdana" w:hAnsi="Verdana" w:cs="Verdana"/>
                <w:sz w:val="26"/>
              </w:rPr>
              <w:t xml:space="preserve"> </w:t>
            </w:r>
          </w:p>
          <w:p w:rsidR="00D7424A" w:rsidRDefault="00D7424A" w:rsidP="00777FAE">
            <w:pPr>
              <w:ind w:right="1107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3A2C40" w:rsidRDefault="003A2C40" w:rsidP="00777FAE">
            <w:pPr>
              <w:ind w:right="1107"/>
              <w:jc w:val="both"/>
              <w:rPr>
                <w:rFonts w:ascii="Verdana" w:eastAsia="Verdana" w:hAnsi="Verdana" w:cs="Verdana"/>
                <w:sz w:val="20"/>
              </w:rPr>
            </w:pPr>
          </w:p>
          <w:p w:rsidR="00B34983" w:rsidRDefault="0014603A" w:rsidP="007146D1">
            <w:pPr>
              <w:ind w:right="533"/>
              <w:jc w:val="both"/>
            </w:pPr>
            <w:r>
              <w:rPr>
                <w:rFonts w:ascii="Verdana" w:eastAsia="Verdana" w:hAnsi="Verdana" w:cs="Verdana"/>
                <w:sz w:val="20"/>
              </w:rPr>
              <w:t>Информация, докладван</w:t>
            </w:r>
            <w:r w:rsidR="00D7424A">
              <w:rPr>
                <w:rFonts w:ascii="Verdana" w:eastAsia="Verdana" w:hAnsi="Verdana" w:cs="Verdana"/>
                <w:sz w:val="20"/>
              </w:rPr>
              <w:t>а</w:t>
            </w:r>
            <w:r>
              <w:rPr>
                <w:rFonts w:ascii="Verdana" w:eastAsia="Verdana" w:hAnsi="Verdana" w:cs="Verdana"/>
                <w:sz w:val="20"/>
              </w:rPr>
              <w:t xml:space="preserve"> на заседанията на </w:t>
            </w:r>
            <w:r w:rsidR="00D7424A">
              <w:rPr>
                <w:rFonts w:ascii="Verdana" w:eastAsia="Verdana" w:hAnsi="Verdana" w:cs="Verdana"/>
                <w:sz w:val="20"/>
              </w:rPr>
              <w:t>ВИ</w:t>
            </w:r>
            <w:r>
              <w:rPr>
                <w:rFonts w:ascii="Verdana" w:eastAsia="Verdana" w:hAnsi="Verdana" w:cs="Verdana"/>
                <w:sz w:val="20"/>
              </w:rPr>
              <w:t xml:space="preserve">КБДП. </w:t>
            </w:r>
          </w:p>
        </w:tc>
      </w:tr>
      <w:tr w:rsidR="00B34983" w:rsidRPr="007146D1" w:rsidTr="00264C8D">
        <w:trPr>
          <w:trHeight w:val="272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7146D1" w:rsidRDefault="0014603A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1.1.3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Годишна актуализация на </w:t>
            </w:r>
          </w:p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Плана за действие за БДП 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Гъвкавост и адаптивност на годишното изпълнение на политиката по БДП съгласно годишните приоритети и оперативни цели на националната политика по БДП, разработвани от ДАБДП. </w:t>
            </w:r>
          </w:p>
          <w:p w:rsidR="00B34983" w:rsidRPr="007146D1" w:rsidRDefault="0014603A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2E" w:rsidRDefault="0011002E" w:rsidP="0011002E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Pr="007146D1" w:rsidRDefault="00B34983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Актуализиран План за действие за БДП. </w:t>
            </w:r>
          </w:p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Предложения на компетентните институции. </w:t>
            </w:r>
          </w:p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 w:rsidRPr="007146D1">
              <w:rPr>
                <w:rFonts w:ascii="Verdana" w:eastAsia="Verdana" w:hAnsi="Verdana" w:cs="Verdana"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за актуализацията - ежегодно - постоянен.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Актуализиран План за действие  за БДП. </w:t>
            </w:r>
          </w:p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 w:rsidRPr="007146D1"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B34983" w:rsidRPr="007146D1" w:rsidRDefault="0014603A" w:rsidP="007146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Информация, докладвана на заседанията на </w:t>
            </w:r>
            <w:r w:rsidR="00D7424A">
              <w:rPr>
                <w:rFonts w:ascii="Verdana" w:eastAsia="Verdana" w:hAnsi="Verdana" w:cs="Verdana"/>
                <w:sz w:val="20"/>
              </w:rPr>
              <w:t>ВИК</w:t>
            </w:r>
            <w:r>
              <w:rPr>
                <w:rFonts w:ascii="Verdana" w:eastAsia="Verdana" w:hAnsi="Verdana" w:cs="Verdana"/>
                <w:sz w:val="20"/>
              </w:rPr>
              <w:t xml:space="preserve">БДП. </w:t>
            </w:r>
          </w:p>
        </w:tc>
      </w:tr>
    </w:tbl>
    <w:p w:rsidR="00B34983" w:rsidRDefault="00B34983">
      <w:pPr>
        <w:spacing w:after="0"/>
        <w:ind w:left="-199" w:right="15233"/>
      </w:pPr>
    </w:p>
    <w:tbl>
      <w:tblPr>
        <w:tblStyle w:val="TableGrid"/>
        <w:tblW w:w="13594" w:type="dxa"/>
        <w:tblInd w:w="151" w:type="dxa"/>
        <w:tblLayout w:type="fixed"/>
        <w:tblCellMar>
          <w:top w:w="54" w:type="dxa"/>
          <w:left w:w="7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776"/>
        <w:gridCol w:w="2997"/>
        <w:gridCol w:w="1969"/>
        <w:gridCol w:w="2743"/>
        <w:gridCol w:w="2835"/>
        <w:gridCol w:w="2274"/>
      </w:tblGrid>
      <w:tr w:rsidR="00B34983" w:rsidTr="007146D1">
        <w:trPr>
          <w:trHeight w:val="263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1.1.4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D7424A" w:rsidP="0011002E">
            <w:pPr>
              <w:ind w:left="103" w:right="741"/>
              <w:jc w:val="both"/>
            </w:pPr>
            <w:r>
              <w:rPr>
                <w:rFonts w:ascii="Verdana" w:eastAsia="Verdana" w:hAnsi="Verdana" w:cs="Verdana"/>
                <w:sz w:val="20"/>
              </w:rPr>
              <w:t>Разработване на годишна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 план- програма за БДП на </w:t>
            </w:r>
            <w:proofErr w:type="spellStart"/>
            <w:r w:rsidR="0014603A">
              <w:rPr>
                <w:rFonts w:ascii="Verdana" w:eastAsia="Verdana" w:hAnsi="Verdana" w:cs="Verdana"/>
                <w:sz w:val="20"/>
              </w:rPr>
              <w:t>на</w:t>
            </w:r>
            <w:proofErr w:type="spellEnd"/>
            <w:r w:rsidR="0014603A">
              <w:rPr>
                <w:rFonts w:ascii="Verdana" w:eastAsia="Verdana" w:hAnsi="Verdana" w:cs="Verdana"/>
                <w:sz w:val="20"/>
              </w:rPr>
              <w:t xml:space="preserve"> училищно ниво.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11002E">
            <w:pPr>
              <w:ind w:left="108" w:right="68"/>
              <w:jc w:val="both"/>
            </w:pPr>
            <w:r>
              <w:rPr>
                <w:rFonts w:ascii="Verdana" w:eastAsia="Verdana" w:hAnsi="Verdana" w:cs="Verdana"/>
                <w:sz w:val="20"/>
              </w:rPr>
              <w:t>Годишна планово</w:t>
            </w:r>
            <w:r w:rsidR="0011002E">
              <w:rPr>
                <w:rFonts w:ascii="Verdana" w:eastAsia="Verdana" w:hAnsi="Verdana" w:cs="Verdana"/>
                <w:sz w:val="20"/>
              </w:rPr>
              <w:t>ст на мерки по БДП на ниво</w:t>
            </w:r>
            <w:r>
              <w:rPr>
                <w:rFonts w:ascii="Verdana" w:eastAsia="Verdana" w:hAnsi="Verdana" w:cs="Verdana"/>
                <w:sz w:val="20"/>
              </w:rPr>
              <w:t xml:space="preserve"> училище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:rsidR="00580DE4" w:rsidRDefault="0014603A" w:rsidP="00580DE4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ВИКБДП</w:t>
            </w:r>
            <w:r w:rsidR="00580DE4">
              <w:rPr>
                <w:rFonts w:ascii="Verdana" w:eastAsia="Verdana" w:hAnsi="Verdana" w:cs="Verdana"/>
                <w:sz w:val="20"/>
              </w:rPr>
              <w:t>,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580DE4"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106" w:right="223"/>
            </w:pPr>
            <w:r>
              <w:rPr>
                <w:rFonts w:ascii="Verdana" w:eastAsia="Verdana" w:hAnsi="Verdana" w:cs="Verdana"/>
                <w:sz w:val="20"/>
              </w:rPr>
              <w:t>Годишни план</w:t>
            </w:r>
            <w:r w:rsidR="00D7424A"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Verdana" w:eastAsia="Verdana" w:hAnsi="Verdana" w:cs="Verdana"/>
                <w:sz w:val="20"/>
              </w:rPr>
              <w:t xml:space="preserve">програми за  БДП на ДГ. </w:t>
            </w:r>
          </w:p>
          <w:p w:rsidR="00D7424A" w:rsidRDefault="0014603A">
            <w:pPr>
              <w:ind w:left="106" w:right="63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Годишни план</w:t>
            </w:r>
            <w:r w:rsidR="00D7424A"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Verdana" w:eastAsia="Verdana" w:hAnsi="Verdana" w:cs="Verdana"/>
                <w:sz w:val="20"/>
              </w:rPr>
              <w:t xml:space="preserve">програми за  БДП на училищно ниво. </w:t>
            </w:r>
          </w:p>
          <w:p w:rsidR="00D7424A" w:rsidRDefault="00D7424A">
            <w:pPr>
              <w:ind w:left="106" w:right="630"/>
              <w:rPr>
                <w:rFonts w:ascii="Verdana" w:eastAsia="Verdana" w:hAnsi="Verdana" w:cs="Verdana"/>
                <w:sz w:val="20"/>
              </w:rPr>
            </w:pPr>
          </w:p>
          <w:p w:rsidR="00B34983" w:rsidRDefault="0014603A">
            <w:pPr>
              <w:ind w:left="106" w:right="63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ежегодно до 15 септември.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4983" w:rsidRDefault="0014603A" w:rsidP="00D16A0C">
            <w:pPr>
              <w:tabs>
                <w:tab w:val="left" w:pos="992"/>
              </w:tabs>
              <w:spacing w:after="64" w:line="241" w:lineRule="auto"/>
              <w:ind w:right="138"/>
              <w:jc w:val="both"/>
            </w:pPr>
            <w:r>
              <w:rPr>
                <w:rFonts w:ascii="Verdana" w:eastAsia="Verdana" w:hAnsi="Verdana" w:cs="Verdana"/>
                <w:sz w:val="20"/>
              </w:rPr>
              <w:t>Годишна план</w:t>
            </w:r>
            <w:r w:rsidR="00D7424A"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Verdana" w:eastAsia="Verdana" w:hAnsi="Verdana" w:cs="Verdana"/>
                <w:sz w:val="20"/>
              </w:rPr>
              <w:t xml:space="preserve">програма за БДП, представена от директора на училището. </w:t>
            </w:r>
          </w:p>
        </w:tc>
      </w:tr>
      <w:tr w:rsidR="00B34983" w:rsidRPr="00BC5F17" w:rsidTr="007146D1">
        <w:trPr>
          <w:trHeight w:val="93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BC5F17" w:rsidRDefault="00B545F3">
            <w:pPr>
              <w:ind w:left="108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1.1.5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BC5F17" w:rsidRDefault="0014603A" w:rsidP="00B545F3">
            <w:pPr>
              <w:ind w:left="103" w:right="18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годишни мерки за БДП на ниво </w:t>
            </w:r>
            <w:r w:rsidR="005F2966">
              <w:rPr>
                <w:rFonts w:ascii="Verdana" w:eastAsia="Verdana" w:hAnsi="Verdana" w:cs="Verdana"/>
                <w:sz w:val="20"/>
              </w:rPr>
              <w:t>училище</w:t>
            </w:r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BC5F17" w:rsidRDefault="0014603A" w:rsidP="005F2966">
            <w:pPr>
              <w:ind w:left="108" w:right="6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Годишно изпълнение на мерки по БДП</w:t>
            </w:r>
            <w:r w:rsidR="005F2966">
              <w:rPr>
                <w:rFonts w:ascii="Verdana" w:eastAsia="Verdana" w:hAnsi="Verdana" w:cs="Verdana"/>
                <w:sz w:val="20"/>
              </w:rPr>
              <w:t>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E4" w:rsidRDefault="00580DE4" w:rsidP="00580DE4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Pr="00BC5F17" w:rsidRDefault="00B34983" w:rsidP="00580DE4">
            <w:pPr>
              <w:ind w:left="10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Pr="00BC5F17" w:rsidRDefault="0014603A">
            <w:pPr>
              <w:spacing w:after="77"/>
              <w:ind w:left="106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годишни мерки за БДП на ниво </w:t>
            </w:r>
            <w:r w:rsidR="005F2966">
              <w:rPr>
                <w:rFonts w:ascii="Verdana" w:eastAsia="Verdana" w:hAnsi="Verdana" w:cs="Verdana"/>
                <w:sz w:val="20"/>
              </w:rPr>
              <w:t>училище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B34983" w:rsidRPr="00BC5F17" w:rsidRDefault="0014603A">
            <w:pPr>
              <w:ind w:left="106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Срок: постоянен.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966" w:rsidRPr="00BC5F17" w:rsidRDefault="005F2966" w:rsidP="005F2966">
            <w:pPr>
              <w:spacing w:after="73" w:line="241" w:lineRule="auto"/>
              <w:ind w:right="72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Годишни доклади за БДП </w:t>
            </w:r>
            <w:r w:rsidR="0020398C">
              <w:rPr>
                <w:rFonts w:ascii="Verdana" w:eastAsia="Verdana" w:hAnsi="Verdana" w:cs="Verdana"/>
                <w:sz w:val="20"/>
              </w:rPr>
              <w:t>от институцията</w:t>
            </w:r>
            <w:r>
              <w:rPr>
                <w:rFonts w:ascii="Verdana" w:eastAsia="Verdana" w:hAnsi="Verdana" w:cs="Verdana"/>
                <w:sz w:val="20"/>
              </w:rPr>
              <w:t xml:space="preserve">, представени на </w:t>
            </w:r>
            <w:r w:rsidR="0020398C">
              <w:rPr>
                <w:rFonts w:ascii="Verdana" w:eastAsia="Verdana" w:hAnsi="Verdana" w:cs="Verdana"/>
                <w:sz w:val="20"/>
              </w:rPr>
              <w:t>РУО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B34983" w:rsidRPr="00BC5F17" w:rsidRDefault="00B34983" w:rsidP="005F2966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472C8B" w:rsidRPr="00BC5F17" w:rsidTr="007146D1">
        <w:trPr>
          <w:trHeight w:val="150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67189A">
            <w:pPr>
              <w:ind w:left="108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1.1.6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5F2966">
            <w:pPr>
              <w:ind w:left="103" w:right="18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Докладване на изпълнени мерки по БДП.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5F2966">
            <w:pPr>
              <w:ind w:left="108" w:right="6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Регулярна отчетност на политиката по БДП.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9A" w:rsidRDefault="0067189A" w:rsidP="0067189A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472C8B" w:rsidRDefault="00472C8B">
            <w:pPr>
              <w:ind w:left="10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472C8B">
            <w:pPr>
              <w:spacing w:after="77"/>
              <w:ind w:right="198"/>
            </w:pPr>
            <w:r>
              <w:rPr>
                <w:rFonts w:ascii="Verdana" w:eastAsia="Verdana" w:hAnsi="Verdana" w:cs="Verdana"/>
                <w:sz w:val="20"/>
              </w:rPr>
              <w:t>Представена инфор</w:t>
            </w:r>
            <w:r w:rsidR="0067189A">
              <w:rPr>
                <w:rFonts w:ascii="Verdana" w:eastAsia="Verdana" w:hAnsi="Verdana" w:cs="Verdana"/>
                <w:sz w:val="20"/>
              </w:rPr>
              <w:t xml:space="preserve">мация от </w:t>
            </w:r>
            <w:r>
              <w:rPr>
                <w:rFonts w:ascii="Verdana" w:eastAsia="Verdana" w:hAnsi="Verdana" w:cs="Verdana"/>
                <w:sz w:val="20"/>
              </w:rPr>
              <w:t xml:space="preserve">Училище към РУО за изпълнени мерки по БДП. </w:t>
            </w:r>
          </w:p>
          <w:p w:rsidR="00472C8B" w:rsidRPr="00472C8B" w:rsidRDefault="00472C8B" w:rsidP="00472C8B">
            <w:pPr>
              <w:spacing w:after="76" w:line="241" w:lineRule="auto"/>
              <w:ind w:right="168"/>
            </w:pPr>
            <w:r>
              <w:rPr>
                <w:rFonts w:ascii="Verdana" w:eastAsia="Verdana" w:hAnsi="Verdana" w:cs="Verdana"/>
                <w:sz w:val="20"/>
              </w:rPr>
              <w:t xml:space="preserve">Срок: регулярно /на тримесечие/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C8B" w:rsidRDefault="00472C8B" w:rsidP="005F2966">
            <w:pPr>
              <w:spacing w:after="73" w:line="241" w:lineRule="auto"/>
              <w:ind w:right="72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Представена информация регулярно, на тримесечие за изпълнени мерки пред  РУО.</w:t>
            </w:r>
          </w:p>
        </w:tc>
      </w:tr>
      <w:tr w:rsidR="00472C8B" w:rsidRPr="00BC5F17" w:rsidTr="007146D1">
        <w:trPr>
          <w:trHeight w:val="150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67189A" w:rsidP="00472C8B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t>1.1.7</w:t>
            </w:r>
            <w:r w:rsidR="00472C8B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472C8B">
            <w:pPr>
              <w:ind w:left="103" w:right="18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Докладване на годишното изпълнение на държавната политика по БДП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472C8B">
            <w:pPr>
              <w:ind w:left="108" w:right="6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Годишна отчетност на държавната политика по БДП - състояние на БДП, изпълнение на поставените стратегически цели и приоритети от програмата на МС, свързани с БДП.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9F79BF" w:rsidP="009F79BF">
            <w:pPr>
              <w:ind w:left="106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МОН, РУО, училище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472C8B">
            <w:pPr>
              <w:spacing w:after="75" w:line="246" w:lineRule="auto"/>
              <w:ind w:right="20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Доклад от институциите към ДАБДП за изпълнени годишни мерки по БДП по цели. </w:t>
            </w:r>
          </w:p>
          <w:p w:rsidR="00472C8B" w:rsidRDefault="00472C8B" w:rsidP="00472C8B">
            <w:pPr>
              <w:spacing w:after="77"/>
              <w:ind w:right="198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>15 февруари.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C8B" w:rsidRDefault="00472C8B" w:rsidP="007146D1">
            <w:pPr>
              <w:spacing w:after="1" w:line="241" w:lineRule="auto"/>
              <w:ind w:left="106" w:right="1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Представени доклади от институциите към  </w:t>
            </w:r>
          </w:p>
          <w:p w:rsidR="00472C8B" w:rsidRDefault="00472C8B" w:rsidP="00472C8B">
            <w:pPr>
              <w:spacing w:after="73" w:line="241" w:lineRule="auto"/>
              <w:ind w:right="72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ДАБДП</w:t>
            </w:r>
          </w:p>
        </w:tc>
      </w:tr>
      <w:tr w:rsidR="00472C8B" w:rsidRPr="00BC5F17" w:rsidTr="007146D1">
        <w:trPr>
          <w:trHeight w:val="178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7B7BB6" w:rsidP="00472C8B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1.1.8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472C8B">
            <w:pPr>
              <w:ind w:left="103" w:right="18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Планиране и финансово осигуряване на мерки по БДП в рамките на одобрените бюджети на институциите в системата на предучилищното и училищното образование.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7B7BB6">
            <w:pPr>
              <w:ind w:left="108" w:right="68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Планово и финансово обезпечаване на мерките на училищно ниво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BB6" w:rsidRDefault="007B7BB6" w:rsidP="007B7BB6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472C8B" w:rsidRDefault="00472C8B" w:rsidP="00472C8B">
            <w:pPr>
              <w:ind w:left="106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472C8B">
            <w:pPr>
              <w:spacing w:after="82"/>
              <w:ind w:left="108" w:right="21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Предвиждане на устойчиво финансиране на мерките по БДП в годишните бюджетни разчети на институциите. </w:t>
            </w:r>
          </w:p>
          <w:p w:rsidR="00472C8B" w:rsidRDefault="00472C8B" w:rsidP="00472C8B">
            <w:pPr>
              <w:spacing w:after="75" w:line="246" w:lineRule="auto"/>
              <w:ind w:right="200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>постоянен.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C8B" w:rsidRDefault="00472C8B" w:rsidP="00472C8B">
            <w:pPr>
              <w:spacing w:after="82"/>
              <w:ind w:left="106" w:right="71"/>
            </w:pPr>
            <w:r>
              <w:rPr>
                <w:rFonts w:ascii="Verdana" w:eastAsia="Verdana" w:hAnsi="Verdana" w:cs="Verdana"/>
                <w:sz w:val="20"/>
              </w:rPr>
              <w:t xml:space="preserve">Бюджетни разчети на институциите. </w:t>
            </w:r>
          </w:p>
          <w:p w:rsidR="00472C8B" w:rsidRDefault="00472C8B" w:rsidP="007146D1">
            <w:pPr>
              <w:tabs>
                <w:tab w:val="left" w:pos="1399"/>
              </w:tabs>
              <w:spacing w:after="1" w:line="241" w:lineRule="auto"/>
              <w:ind w:left="106" w:right="865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Годишен доклад за изпълнение на мерките по БДП.</w:t>
            </w:r>
          </w:p>
        </w:tc>
      </w:tr>
      <w:tr w:rsidR="00472C8B" w:rsidRPr="007146D1" w:rsidTr="007146D1">
        <w:trPr>
          <w:trHeight w:val="178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Pr="007146D1" w:rsidRDefault="00472C8B" w:rsidP="007F4711">
            <w:pPr>
              <w:ind w:left="107"/>
              <w:rPr>
                <w:rFonts w:ascii="Verdana" w:eastAsia="Verdana" w:hAnsi="Verdana" w:cs="Verdana"/>
                <w:sz w:val="20"/>
              </w:rPr>
            </w:pPr>
            <w:r w:rsidRPr="007146D1">
              <w:rPr>
                <w:rFonts w:ascii="Verdana" w:eastAsia="Verdana" w:hAnsi="Verdana" w:cs="Verdana"/>
                <w:sz w:val="20"/>
              </w:rPr>
              <w:t>1.1.</w:t>
            </w:r>
            <w:r w:rsidR="007F4711">
              <w:rPr>
                <w:rFonts w:ascii="Verdana" w:eastAsia="Verdana" w:hAnsi="Verdana" w:cs="Verdana"/>
                <w:sz w:val="20"/>
              </w:rPr>
              <w:t>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Default="00472C8B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Наблюдение и оценка на изпълнението на мерките по БДП за взаимодействие по обмен на информация, анализиране на пътнотранспортните произшествия с участие на деца.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8B" w:rsidRPr="007146D1" w:rsidRDefault="00472C8B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Осигуряване на информация за пътнотранспортни произшествия с деца и набелязване на мерки </w:t>
            </w:r>
          </w:p>
          <w:p w:rsidR="00472C8B" w:rsidRDefault="00472C8B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за тяхното ограничаване и намаляване на последствията. Предприемане на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корективни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действия за подобряване изпълнението на политиката за взаимодействие по обмен на информация.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393" w:rsidRDefault="00C60393" w:rsidP="00C60393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472C8B" w:rsidRDefault="00472C8B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11" w:rsidRPr="007146D1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Получаване на обобщени  справки с данни за областта за ПТП с участието на деца по вид и  показатели, които се </w:t>
            </w:r>
          </w:p>
          <w:p w:rsidR="00BA5C11" w:rsidRPr="007146D1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съдържат в Автоматизираната информационна </w:t>
            </w:r>
          </w:p>
          <w:p w:rsidR="00BA5C11" w:rsidRPr="007146D1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система </w:t>
            </w:r>
          </w:p>
          <w:p w:rsidR="00BA5C11" w:rsidRPr="007146D1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„Пътна полиция" на МВР, подсистема ПТП и в нейния  Справочен модул; </w:t>
            </w:r>
          </w:p>
          <w:p w:rsidR="00BA5C11" w:rsidRPr="007146D1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 w:rsidRPr="007146D1">
              <w:rPr>
                <w:rFonts w:ascii="Verdana" w:eastAsia="Verdana" w:hAnsi="Verdana" w:cs="Verdana"/>
                <w:sz w:val="20"/>
              </w:rPr>
              <w:t xml:space="preserve">Срок: </w:t>
            </w:r>
          </w:p>
          <w:p w:rsidR="00BA5C11" w:rsidRPr="007146D1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регулярно на шестмесечие и  година. </w:t>
            </w:r>
          </w:p>
          <w:p w:rsidR="00472C8B" w:rsidRDefault="00472C8B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C8B" w:rsidRDefault="00BA5C11" w:rsidP="007146D1">
            <w:pPr>
              <w:ind w:left="107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Получаване на обобщени  справки с данни за областта за ПТП с участието на деца и използването на тези данни за планиране на мерки и дейности за опазване живота на децата/учениците/.</w:t>
            </w:r>
          </w:p>
        </w:tc>
      </w:tr>
    </w:tbl>
    <w:p w:rsidR="00B34983" w:rsidRDefault="00B34983">
      <w:pPr>
        <w:spacing w:after="0"/>
        <w:ind w:left="-199" w:right="15233"/>
      </w:pPr>
    </w:p>
    <w:p w:rsidR="00B34983" w:rsidRDefault="00B34983" w:rsidP="003E2740">
      <w:pPr>
        <w:spacing w:after="0"/>
        <w:ind w:right="29"/>
        <w:jc w:val="both"/>
      </w:pPr>
    </w:p>
    <w:tbl>
      <w:tblPr>
        <w:tblStyle w:val="TableGrid"/>
        <w:tblW w:w="13621" w:type="dxa"/>
        <w:tblInd w:w="124" w:type="dxa"/>
        <w:tblCellMar>
          <w:top w:w="54" w:type="dxa"/>
          <w:left w:w="5" w:type="dxa"/>
          <w:bottom w:w="4" w:type="dxa"/>
        </w:tblCellMar>
        <w:tblLook w:val="04A0" w:firstRow="1" w:lastRow="0" w:firstColumn="1" w:lastColumn="0" w:noHBand="0" w:noVBand="1"/>
      </w:tblPr>
      <w:tblGrid>
        <w:gridCol w:w="1147"/>
        <w:gridCol w:w="2693"/>
        <w:gridCol w:w="1985"/>
        <w:gridCol w:w="2693"/>
        <w:gridCol w:w="2835"/>
        <w:gridCol w:w="2268"/>
      </w:tblGrid>
      <w:tr w:rsidR="00B34983" w:rsidTr="002C11B1">
        <w:trPr>
          <w:trHeight w:val="95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ind w:left="10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1.2 </w:t>
            </w:r>
          </w:p>
        </w:tc>
        <w:tc>
          <w:tcPr>
            <w:tcW w:w="12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spacing w:after="62"/>
              <w:ind w:left="106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34983" w:rsidRDefault="0014603A">
            <w:pPr>
              <w:ind w:left="106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Подобряване на координацията и задълбочаване на взаимодействието между институциите при изпълнение на държавната политика в областта </w:t>
            </w:r>
          </w:p>
        </w:tc>
      </w:tr>
      <w:tr w:rsidR="00B34983" w:rsidTr="002C11B1">
        <w:trPr>
          <w:trHeight w:val="2164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C5F17">
            <w:pPr>
              <w:ind w:left="107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1.2.</w:t>
            </w:r>
            <w:r w:rsidR="00BC5F17">
              <w:rPr>
                <w:rFonts w:ascii="Verdana" w:eastAsia="Verdana" w:hAnsi="Verdana" w:cs="Verdana"/>
                <w:sz w:val="20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6" w:right="31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методически указания на ДАБДП в изпълнение на НСБДП и произтичащите от нея документи.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Стандартизиране на планирането, изпълнението, оценката и отчитането на държавната политика по БДП.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0E" w:rsidRDefault="0026320E" w:rsidP="0026320E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 w:rsidP="009736B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методически указания.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14" w:line="241" w:lineRule="auto"/>
              <w:ind w:left="106" w:right="41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 за изпълнени мерки по БДП за целите на заседания на </w:t>
            </w:r>
            <w:r w:rsidR="009736BD">
              <w:rPr>
                <w:rFonts w:ascii="Verdana" w:eastAsia="Verdana" w:hAnsi="Verdana" w:cs="Verdana"/>
                <w:sz w:val="20"/>
              </w:rPr>
              <w:t>ОКБ</w:t>
            </w:r>
            <w:r>
              <w:rPr>
                <w:rFonts w:ascii="Verdana" w:eastAsia="Verdana" w:hAnsi="Verdana" w:cs="Verdana"/>
                <w:sz w:val="20"/>
              </w:rPr>
              <w:t xml:space="preserve">ДП. </w:t>
            </w:r>
          </w:p>
          <w:p w:rsidR="00B34983" w:rsidRDefault="0014603A">
            <w:r>
              <w:rPr>
                <w:rFonts w:ascii="Verdana" w:eastAsia="Verdana" w:hAnsi="Verdana" w:cs="Verdana"/>
                <w:sz w:val="21"/>
              </w:rPr>
              <w:t xml:space="preserve"> </w:t>
            </w:r>
          </w:p>
          <w:p w:rsidR="00B34983" w:rsidRDefault="0014603A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Кореспонденция между институциите </w:t>
            </w:r>
          </w:p>
        </w:tc>
      </w:tr>
    </w:tbl>
    <w:p w:rsidR="00B34983" w:rsidRDefault="00B34983">
      <w:pPr>
        <w:spacing w:after="0"/>
        <w:ind w:left="-199" w:right="15233"/>
      </w:pPr>
    </w:p>
    <w:tbl>
      <w:tblPr>
        <w:tblStyle w:val="TableGrid"/>
        <w:tblW w:w="13608" w:type="dxa"/>
        <w:tblInd w:w="137" w:type="dxa"/>
        <w:tblCellMar>
          <w:top w:w="127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876"/>
        <w:gridCol w:w="4598"/>
      </w:tblGrid>
      <w:tr w:rsidR="00B34983" w:rsidTr="002C11B1">
        <w:trPr>
          <w:trHeight w:val="5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ind w:left="11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1.3 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1CC"/>
          </w:tcPr>
          <w:p w:rsidR="00B34983" w:rsidRDefault="0014603A">
            <w:pPr>
              <w:spacing w:after="63"/>
              <w:ind w:left="11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Усъвършенстване на националното законодателство в областта на БДП </w:t>
            </w:r>
          </w:p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B34983"/>
        </w:tc>
      </w:tr>
    </w:tbl>
    <w:p w:rsidR="00B34983" w:rsidRDefault="00B34983">
      <w:pPr>
        <w:spacing w:after="0"/>
        <w:ind w:left="-199" w:right="15233"/>
      </w:pPr>
    </w:p>
    <w:tbl>
      <w:tblPr>
        <w:tblStyle w:val="TableGrid"/>
        <w:tblW w:w="13608" w:type="dxa"/>
        <w:tblInd w:w="137" w:type="dxa"/>
        <w:tblCellMar>
          <w:top w:w="54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54"/>
        <w:gridCol w:w="2258"/>
        <w:gridCol w:w="3588"/>
        <w:gridCol w:w="1823"/>
        <w:gridCol w:w="1896"/>
        <w:gridCol w:w="3189"/>
      </w:tblGrid>
      <w:tr w:rsidR="00487BC8" w:rsidTr="00487BC8">
        <w:trPr>
          <w:trHeight w:val="234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1C3031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>1.3.</w:t>
            </w:r>
            <w:r w:rsidR="001C3031">
              <w:rPr>
                <w:rFonts w:ascii="Verdana" w:eastAsia="Verdana" w:hAnsi="Verdana" w:cs="Verdana"/>
                <w:sz w:val="20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46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Разработване на проекти на други  нормативни актове в областта на БДП.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5" w:right="24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Оптимизиране на обществените отношения в областта на БДП.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8D" w:rsidRDefault="00335B8D" w:rsidP="00335B8D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0E6AF0" w:rsidRDefault="000E6AF0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2" w:right="78"/>
            </w:pPr>
            <w:r>
              <w:rPr>
                <w:rFonts w:ascii="Verdana" w:eastAsia="Verdana" w:hAnsi="Verdana" w:cs="Verdana"/>
                <w:sz w:val="20"/>
              </w:rPr>
              <w:t>Предложени и/извършени вътрешно</w:t>
            </w:r>
            <w:r w:rsidR="00D53AB9">
              <w:rPr>
                <w:rFonts w:ascii="Verdana" w:eastAsia="Verdana" w:hAnsi="Verdana" w:cs="Verdana"/>
                <w:sz w:val="20"/>
              </w:rPr>
              <w:t>-</w:t>
            </w:r>
            <w:r>
              <w:rPr>
                <w:rFonts w:ascii="Verdana" w:eastAsia="Verdana" w:hAnsi="Verdana" w:cs="Verdana"/>
                <w:sz w:val="20"/>
              </w:rPr>
              <w:t xml:space="preserve">нормативни промени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63199C">
            <w:pPr>
              <w:spacing w:after="82"/>
              <w:ind w:left="2" w:right="195"/>
              <w:jc w:val="both"/>
            </w:pPr>
            <w:r>
              <w:rPr>
                <w:rFonts w:ascii="Verdana" w:eastAsia="Verdana" w:hAnsi="Verdana" w:cs="Verdana"/>
                <w:sz w:val="20"/>
              </w:rPr>
              <w:t>До</w:t>
            </w:r>
            <w:r w:rsidR="0063199C">
              <w:rPr>
                <w:rFonts w:ascii="Verdana" w:eastAsia="Verdana" w:hAnsi="Verdana" w:cs="Verdana"/>
                <w:sz w:val="20"/>
              </w:rPr>
              <w:t xml:space="preserve">кументация от работа на работни </w:t>
            </w:r>
            <w:r>
              <w:rPr>
                <w:rFonts w:ascii="Verdana" w:eastAsia="Verdana" w:hAnsi="Verdana" w:cs="Verdana"/>
                <w:sz w:val="20"/>
              </w:rPr>
              <w:t xml:space="preserve">групи. </w:t>
            </w:r>
            <w:r w:rsidR="00D53AB9">
              <w:rPr>
                <w:rFonts w:ascii="Verdana" w:eastAsia="Verdana" w:hAnsi="Verdana" w:cs="Verdana"/>
                <w:sz w:val="20"/>
              </w:rPr>
              <w:t xml:space="preserve">Предложения </w:t>
            </w:r>
            <w:r w:rsidR="00460F1B">
              <w:rPr>
                <w:rFonts w:ascii="Verdana" w:eastAsia="Verdana" w:hAnsi="Verdana" w:cs="Verdana"/>
                <w:sz w:val="20"/>
              </w:rPr>
              <w:t xml:space="preserve">от ВИКБДП </w:t>
            </w:r>
            <w:r w:rsidR="00D53AB9">
              <w:rPr>
                <w:rFonts w:ascii="Verdana" w:eastAsia="Verdana" w:hAnsi="Verdana" w:cs="Verdana"/>
                <w:sz w:val="20"/>
              </w:rPr>
              <w:t xml:space="preserve">за промени и оптимизиране посочени в </w:t>
            </w:r>
            <w:r>
              <w:rPr>
                <w:rFonts w:ascii="Verdana" w:eastAsia="Verdana" w:hAnsi="Verdana" w:cs="Verdana"/>
                <w:sz w:val="20"/>
              </w:rPr>
              <w:t xml:space="preserve">годишния доклад за изпълнение на политиката по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БДП </w:t>
            </w:r>
          </w:p>
        </w:tc>
      </w:tr>
      <w:tr w:rsidR="00B34983" w:rsidTr="00487BC8">
        <w:trPr>
          <w:trHeight w:val="94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1.4 </w:t>
            </w:r>
          </w:p>
        </w:tc>
        <w:tc>
          <w:tcPr>
            <w:tcW w:w="12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spacing w:after="6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34983" w:rsidRDefault="0014603A">
            <w:pPr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Гарантиране на партньорство и прозрачност в политиката по БДП чрез сътрудничество с гражданския сектор, бизнеса, научните и академичните среди </w:t>
            </w:r>
          </w:p>
        </w:tc>
      </w:tr>
      <w:tr w:rsidR="00487BC8" w:rsidTr="00487BC8">
        <w:trPr>
          <w:trHeight w:val="15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2E561A">
            <w:pPr>
              <w:ind w:left="-252" w:hanging="35"/>
            </w:pPr>
            <w:r>
              <w:rPr>
                <w:rFonts w:ascii="Verdana" w:eastAsia="Verdana" w:hAnsi="Verdana" w:cs="Verdana"/>
                <w:sz w:val="20"/>
              </w:rPr>
              <w:t>1.4.</w:t>
            </w:r>
            <w:r w:rsidR="00972FF7">
              <w:rPr>
                <w:rFonts w:ascii="Verdana" w:eastAsia="Verdana" w:hAnsi="Verdana" w:cs="Verdana"/>
                <w:sz w:val="20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8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Организиране и провеждане на обществени консултации по важни теми в областта на БДП.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5" w:right="429"/>
            </w:pPr>
            <w:r>
              <w:rPr>
                <w:rFonts w:ascii="Verdana" w:eastAsia="Verdana" w:hAnsi="Verdana" w:cs="Verdana"/>
                <w:sz w:val="20"/>
              </w:rPr>
              <w:t xml:space="preserve">Установяване и отчитане на становищата на заинтересованите страни в гражданското общество.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49C" w:rsidRDefault="0084249C" w:rsidP="0084249C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0" w:line="241" w:lineRule="auto"/>
              <w:ind w:left="2" w:right="331"/>
            </w:pPr>
            <w:r>
              <w:rPr>
                <w:rFonts w:ascii="Verdana" w:eastAsia="Verdana" w:hAnsi="Verdana" w:cs="Verdana"/>
                <w:sz w:val="20"/>
              </w:rPr>
              <w:t xml:space="preserve">Проведени обществени консултации.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line="321" w:lineRule="auto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Кореспонденция Становища. </w:t>
            </w:r>
          </w:p>
          <w:p w:rsidR="00B34983" w:rsidRDefault="00B34983">
            <w:pPr>
              <w:ind w:left="2"/>
            </w:pPr>
          </w:p>
        </w:tc>
      </w:tr>
      <w:tr w:rsidR="0063199C" w:rsidTr="00487BC8">
        <w:trPr>
          <w:trHeight w:val="15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3199C" w:rsidRPr="00BC5F17" w:rsidRDefault="0063199C" w:rsidP="002E561A">
            <w:pPr>
              <w:ind w:left="-279"/>
              <w:jc w:val="center"/>
              <w:rPr>
                <w:b/>
              </w:rPr>
            </w:pPr>
            <w:r w:rsidRPr="00BC5F17">
              <w:rPr>
                <w:rFonts w:ascii="Verdana" w:eastAsia="Verdana" w:hAnsi="Verdana" w:cs="Verdana"/>
                <w:b/>
                <w:sz w:val="20"/>
              </w:rPr>
              <w:lastRenderedPageBreak/>
              <w:t>1.5</w:t>
            </w:r>
          </w:p>
        </w:tc>
        <w:tc>
          <w:tcPr>
            <w:tcW w:w="12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3199C" w:rsidRDefault="0063199C" w:rsidP="0063199C">
            <w:pPr>
              <w:spacing w:after="6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63199C" w:rsidRDefault="0063199C" w:rsidP="0063199C">
            <w:pPr>
              <w:spacing w:line="321" w:lineRule="auto"/>
              <w:ind w:left="2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</w:tbl>
    <w:p w:rsidR="00487BC8" w:rsidRDefault="00487BC8" w:rsidP="007A405C">
      <w:pPr>
        <w:spacing w:after="0"/>
        <w:jc w:val="both"/>
      </w:pPr>
    </w:p>
    <w:p w:rsidR="00487BC8" w:rsidRPr="00487BC8" w:rsidRDefault="00487BC8" w:rsidP="00487BC8"/>
    <w:tbl>
      <w:tblPr>
        <w:tblStyle w:val="TableGrid"/>
        <w:tblpPr w:leftFromText="141" w:rightFromText="141" w:vertAnchor="text" w:horzAnchor="margin" w:tblpX="137" w:tblpY="-524"/>
        <w:tblW w:w="13603" w:type="dxa"/>
        <w:tblInd w:w="0" w:type="dxa"/>
        <w:tblCellMar>
          <w:top w:w="127" w:type="dxa"/>
          <w:left w:w="110" w:type="dxa"/>
          <w:bottom w:w="4" w:type="dxa"/>
          <w:right w:w="134" w:type="dxa"/>
        </w:tblCellMar>
        <w:tblLook w:val="04A0" w:firstRow="1" w:lastRow="0" w:firstColumn="1" w:lastColumn="0" w:noHBand="0" w:noVBand="1"/>
      </w:tblPr>
      <w:tblGrid>
        <w:gridCol w:w="984"/>
        <w:gridCol w:w="2124"/>
        <w:gridCol w:w="3812"/>
        <w:gridCol w:w="1511"/>
        <w:gridCol w:w="2381"/>
        <w:gridCol w:w="2791"/>
      </w:tblGrid>
      <w:tr w:rsidR="00487BC8" w:rsidTr="00487BC8">
        <w:trPr>
          <w:trHeight w:val="213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C8" w:rsidRDefault="00487BC8" w:rsidP="00487BC8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1.5.1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C8" w:rsidRDefault="00487BC8" w:rsidP="00487BC8">
            <w:r>
              <w:rPr>
                <w:rFonts w:ascii="Verdana" w:eastAsia="Verdana" w:hAnsi="Verdana" w:cs="Verdana"/>
                <w:sz w:val="20"/>
              </w:rPr>
              <w:t>Прилагане на единна комуникационна стратегия по БДП.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BC8" w:rsidRDefault="00487BC8" w:rsidP="00487BC8">
            <w:pPr>
              <w:spacing w:after="81" w:line="241" w:lineRule="auto"/>
              <w:ind w:right="102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  Провеждане на целенасочена комуникационна и медийна политика. </w:t>
            </w:r>
          </w:p>
          <w:p w:rsidR="00487BC8" w:rsidRDefault="00487BC8" w:rsidP="00487BC8">
            <w:pPr>
              <w:ind w:right="162"/>
            </w:pPr>
            <w:r>
              <w:rPr>
                <w:rFonts w:ascii="Verdana" w:eastAsia="Verdana" w:hAnsi="Verdana" w:cs="Verdana"/>
                <w:sz w:val="20"/>
              </w:rPr>
              <w:t xml:space="preserve">Излъчване на ясни и единни послания на ангажираните по темата за БДП държавни институции в общественото пространство.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0D6" w:rsidRDefault="00487BC8" w:rsidP="00F500D6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F500D6">
              <w:rPr>
                <w:rFonts w:ascii="Verdana" w:eastAsia="Verdana" w:hAnsi="Verdana" w:cs="Verdana"/>
                <w:sz w:val="20"/>
              </w:rPr>
              <w:t xml:space="preserve"> Училище, училищна комисия по БДП</w:t>
            </w:r>
          </w:p>
          <w:p w:rsidR="00487BC8" w:rsidRDefault="00487BC8" w:rsidP="00487BC8">
            <w:pPr>
              <w:jc w:val="both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C8" w:rsidRDefault="00487BC8" w:rsidP="00487BC8">
            <w:pPr>
              <w:spacing w:after="84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Активна медийна политика. </w:t>
            </w:r>
          </w:p>
          <w:p w:rsidR="00487BC8" w:rsidRDefault="00487BC8" w:rsidP="00487BC8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BC8" w:rsidRDefault="00487BC8" w:rsidP="00487BC8">
            <w:pPr>
              <w:spacing w:after="74" w:line="242" w:lineRule="auto"/>
            </w:pPr>
            <w:r>
              <w:rPr>
                <w:rFonts w:ascii="Verdana" w:eastAsia="Verdana" w:hAnsi="Verdana" w:cs="Verdana"/>
                <w:sz w:val="20"/>
              </w:rPr>
              <w:t>Официална интернет страница на МОН –</w:t>
            </w:r>
            <w:hyperlink r:id="rId7">
              <w:r>
                <w:rPr>
                  <w:rFonts w:ascii="Verdana" w:eastAsia="Verdana" w:hAnsi="Verdana" w:cs="Verdana"/>
                  <w:sz w:val="20"/>
                </w:rPr>
                <w:t xml:space="preserve"> </w:t>
              </w:r>
            </w:hyperlink>
            <w:hyperlink r:id="rId8">
              <w:r>
                <w:rPr>
                  <w:rFonts w:ascii="Verdana" w:eastAsia="Verdana" w:hAnsi="Verdana" w:cs="Verdana"/>
                  <w:sz w:val="20"/>
                </w:rPr>
                <w:t>www.mon.bg</w:t>
              </w:r>
            </w:hyperlink>
            <w:hyperlink r:id="rId9">
              <w:r>
                <w:rPr>
                  <w:rFonts w:ascii="Verdana" w:eastAsia="Verdana" w:hAnsi="Verdana" w:cs="Verdana"/>
                  <w:sz w:val="20"/>
                </w:rPr>
                <w:t xml:space="preserve"> </w:t>
              </w:r>
            </w:hyperlink>
          </w:p>
          <w:p w:rsidR="00487BC8" w:rsidRDefault="00487BC8" w:rsidP="00F500D6">
            <w:r>
              <w:rPr>
                <w:rFonts w:ascii="Verdana" w:eastAsia="Verdana" w:hAnsi="Verdana" w:cs="Verdana"/>
                <w:sz w:val="20"/>
              </w:rPr>
              <w:t xml:space="preserve">Официални страници на РУО, </w:t>
            </w:r>
            <w:r w:rsidR="00F500D6">
              <w:rPr>
                <w:rFonts w:ascii="Verdana" w:eastAsia="Verdana" w:hAnsi="Verdana" w:cs="Verdana"/>
                <w:sz w:val="20"/>
              </w:rPr>
              <w:t>училището.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487BC8" w:rsidRPr="00487BC8" w:rsidRDefault="00487BC8" w:rsidP="00487BC8"/>
    <w:p w:rsidR="00B34983" w:rsidRPr="00487BC8" w:rsidRDefault="00487BC8" w:rsidP="00487BC8">
      <w:pPr>
        <w:tabs>
          <w:tab w:val="left" w:pos="2356"/>
        </w:tabs>
      </w:pPr>
      <w:r>
        <w:tab/>
      </w:r>
    </w:p>
    <w:tbl>
      <w:tblPr>
        <w:tblStyle w:val="TableGrid"/>
        <w:tblpPr w:leftFromText="141" w:rightFromText="141" w:vertAnchor="text" w:horzAnchor="margin" w:tblpY="-524"/>
        <w:tblW w:w="13462" w:type="dxa"/>
        <w:tblInd w:w="0" w:type="dxa"/>
        <w:tblCellMar>
          <w:top w:w="128" w:type="dxa"/>
          <w:bottom w:w="4" w:type="dxa"/>
        </w:tblCellMar>
        <w:tblLook w:val="04A0" w:firstRow="1" w:lastRow="0" w:firstColumn="1" w:lastColumn="0" w:noHBand="0" w:noVBand="1"/>
      </w:tblPr>
      <w:tblGrid>
        <w:gridCol w:w="1019"/>
        <w:gridCol w:w="4079"/>
        <w:gridCol w:w="3270"/>
        <w:gridCol w:w="1472"/>
        <w:gridCol w:w="2123"/>
        <w:gridCol w:w="1499"/>
      </w:tblGrid>
      <w:tr w:rsidR="00BC5F17" w:rsidTr="00487BC8">
        <w:trPr>
          <w:trHeight w:val="590"/>
        </w:trPr>
        <w:tc>
          <w:tcPr>
            <w:tcW w:w="1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C5F17" w:rsidRDefault="00BC5F17" w:rsidP="00487BC8">
            <w:pPr>
              <w:ind w:left="113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 xml:space="preserve">ТЕМАТИЧНО НАПРАВЛЕНИЕ 2: СОЦИАЛНО ОТГОВОРНО ПОВЕДЕНИЕ: УЧЕНЕ ПРЕЗ ЦЕЛИЯ ЖИВОТ </w:t>
            </w:r>
          </w:p>
        </w:tc>
      </w:tr>
      <w:tr w:rsidR="00BC5F17" w:rsidTr="00487BC8">
        <w:trPr>
          <w:trHeight w:val="97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5F17" w:rsidRDefault="00BC5F17" w:rsidP="00487BC8">
            <w:pPr>
              <w:ind w:left="11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2.1 </w:t>
            </w:r>
          </w:p>
        </w:tc>
        <w:tc>
          <w:tcPr>
            <w:tcW w:w="12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5F17" w:rsidRDefault="00BC5F17" w:rsidP="00487BC8">
            <w:pPr>
              <w:spacing w:after="62"/>
              <w:ind w:left="11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C5F17" w:rsidRDefault="00BC5F17" w:rsidP="00487BC8">
            <w:pPr>
              <w:ind w:left="110" w:right="252"/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Превенция на рисковете за здравето и живота на децата при взаимодействието им с пътната система като участници в движението по пътищата </w:t>
            </w:r>
          </w:p>
        </w:tc>
      </w:tr>
      <w:tr w:rsidR="00487BC8" w:rsidRPr="00142762" w:rsidTr="00487BC8">
        <w:trPr>
          <w:trHeight w:val="97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62" w:rsidRPr="00142762" w:rsidRDefault="00142762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  <w:r w:rsidRPr="00933AD9">
              <w:rPr>
                <w:rFonts w:ascii="Verdana" w:eastAsia="Verdana" w:hAnsi="Verdana" w:cs="Verdana"/>
                <w:sz w:val="20"/>
              </w:rPr>
              <w:t>2.1.1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62" w:rsidRDefault="00142762" w:rsidP="00487BC8">
            <w:pPr>
              <w:spacing w:after="29" w:line="241" w:lineRule="auto"/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Оптимизирано обучение на деца и ученици по БДП в системата на образованието в единна концептуална рамка: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ind w:firstLine="286"/>
            </w:pPr>
            <w:r>
              <w:rPr>
                <w:rFonts w:ascii="Verdana" w:eastAsia="Verdana" w:hAnsi="Verdana" w:cs="Verdana"/>
                <w:sz w:val="20"/>
              </w:rPr>
              <w:t xml:space="preserve">осъвременяване на учебната документация по БДП въз основа на опита в Република България и водещите страни по отношение на </w:t>
            </w:r>
          </w:p>
          <w:p w:rsidR="00142762" w:rsidRDefault="00142762" w:rsidP="00487BC8">
            <w:pPr>
              <w:spacing w:after="10"/>
              <w:ind w:left="185"/>
            </w:pPr>
            <w:r>
              <w:rPr>
                <w:rFonts w:ascii="Verdana" w:eastAsia="Verdana" w:hAnsi="Verdana" w:cs="Verdana"/>
                <w:sz w:val="20"/>
              </w:rPr>
              <w:t xml:space="preserve">БДП;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spacing w:line="241" w:lineRule="auto"/>
              <w:ind w:firstLine="286"/>
            </w:pPr>
            <w:r>
              <w:rPr>
                <w:rFonts w:ascii="Verdana" w:eastAsia="Verdana" w:hAnsi="Verdana" w:cs="Verdana"/>
                <w:sz w:val="20"/>
              </w:rPr>
              <w:t xml:space="preserve">заделяне на финансови, технически и човешки ресурси за обезпечаване на обучението по </w:t>
            </w:r>
          </w:p>
          <w:p w:rsidR="00142762" w:rsidRDefault="00142762" w:rsidP="00487BC8">
            <w:pPr>
              <w:spacing w:after="10"/>
              <w:ind w:left="185"/>
            </w:pPr>
            <w:r>
              <w:rPr>
                <w:rFonts w:ascii="Verdana" w:eastAsia="Verdana" w:hAnsi="Verdana" w:cs="Verdana"/>
                <w:sz w:val="20"/>
              </w:rPr>
              <w:t xml:space="preserve">БДП;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spacing w:after="27" w:line="241" w:lineRule="auto"/>
              <w:ind w:firstLine="10"/>
            </w:pPr>
            <w:r>
              <w:rPr>
                <w:rFonts w:ascii="Verdana" w:eastAsia="Verdana" w:hAnsi="Verdana" w:cs="Verdana"/>
                <w:sz w:val="20"/>
              </w:rPr>
              <w:t xml:space="preserve">определяне на конкретни образователни цели като минимални изисквания за обучение по БДП в детските градини и училищата;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spacing w:line="241" w:lineRule="auto"/>
              <w:ind w:firstLine="286"/>
            </w:pPr>
            <w:r>
              <w:rPr>
                <w:rFonts w:ascii="Verdana" w:eastAsia="Verdana" w:hAnsi="Verdana" w:cs="Verdana"/>
                <w:sz w:val="20"/>
              </w:rPr>
              <w:t xml:space="preserve">интегриране на темите по БДП в темите от учебното съдържание по общообразователните учебни предмети и/или по предметите за придобиване на професионална квалификация, едновременно с </w:t>
            </w:r>
          </w:p>
          <w:p w:rsidR="00142762" w:rsidRDefault="00142762" w:rsidP="00487BC8">
            <w:pPr>
              <w:spacing w:after="27" w:line="242" w:lineRule="auto"/>
              <w:ind w:left="185"/>
            </w:pPr>
            <w:r>
              <w:rPr>
                <w:rFonts w:ascii="Verdana" w:eastAsia="Verdana" w:hAnsi="Verdana" w:cs="Verdana"/>
                <w:sz w:val="20"/>
              </w:rPr>
              <w:t xml:space="preserve">преподаването им  като отделен предмет;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spacing w:after="15"/>
              <w:ind w:firstLine="286"/>
            </w:pPr>
            <w:r>
              <w:rPr>
                <w:rFonts w:ascii="Verdana" w:eastAsia="Verdana" w:hAnsi="Verdana" w:cs="Verdana"/>
                <w:sz w:val="20"/>
              </w:rPr>
              <w:t xml:space="preserve">прилагане на единни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spacing w:after="23" w:line="247" w:lineRule="auto"/>
              <w:ind w:firstLine="286"/>
            </w:pPr>
            <w:r>
              <w:rPr>
                <w:rFonts w:ascii="Verdana" w:eastAsia="Verdana" w:hAnsi="Verdana" w:cs="Verdana"/>
                <w:sz w:val="20"/>
              </w:rPr>
              <w:t xml:space="preserve">образователни стандарти по места;  </w:t>
            </w:r>
          </w:p>
          <w:p w:rsidR="00142762" w:rsidRDefault="00142762" w:rsidP="00487BC8">
            <w:pPr>
              <w:numPr>
                <w:ilvl w:val="0"/>
                <w:numId w:val="3"/>
              </w:numPr>
              <w:spacing w:after="28" w:line="242" w:lineRule="auto"/>
              <w:ind w:firstLine="286"/>
            </w:pPr>
            <w:r>
              <w:rPr>
                <w:rFonts w:ascii="Verdana" w:eastAsia="Verdana" w:hAnsi="Verdana" w:cs="Verdana"/>
                <w:sz w:val="20"/>
              </w:rPr>
              <w:t xml:space="preserve">използване на учебни материали и подходи, адаптирани както към възрастта и зрелостта на обучаваните, така и към духа на времето; </w:t>
            </w:r>
          </w:p>
          <w:p w:rsidR="00142762" w:rsidRDefault="00142762" w:rsidP="00487BC8">
            <w:pPr>
              <w:spacing w:after="30"/>
              <w:ind w:left="34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обучение с натрупване, при което всяко ниво на обучение  надгражда предишното с цел приемственост и ефективен напредък; </w:t>
            </w:r>
          </w:p>
          <w:p w:rsidR="00142762" w:rsidRDefault="00142762" w:rsidP="00487BC8">
            <w:pPr>
              <w:numPr>
                <w:ilvl w:val="0"/>
                <w:numId w:val="4"/>
              </w:numPr>
              <w:spacing w:after="25" w:line="242" w:lineRule="auto"/>
              <w:ind w:right="17" w:firstLine="180"/>
            </w:pPr>
            <w:r>
              <w:rPr>
                <w:rFonts w:ascii="Verdana" w:eastAsia="Verdana" w:hAnsi="Verdana" w:cs="Verdana"/>
                <w:sz w:val="20"/>
              </w:rPr>
              <w:t xml:space="preserve">насоченост на БДП не само към придобиване на знания и разбиране на правилата за движение, но и към промяна на нагласите и мотивацията; </w:t>
            </w:r>
          </w:p>
          <w:p w:rsidR="00142762" w:rsidRDefault="00142762" w:rsidP="00487BC8">
            <w:pPr>
              <w:numPr>
                <w:ilvl w:val="0"/>
                <w:numId w:val="4"/>
              </w:numPr>
              <w:spacing w:after="28" w:line="241" w:lineRule="auto"/>
              <w:ind w:right="17" w:firstLine="180"/>
            </w:pPr>
            <w:r>
              <w:rPr>
                <w:rFonts w:ascii="Verdana" w:eastAsia="Verdana" w:hAnsi="Verdana" w:cs="Verdana"/>
                <w:sz w:val="20"/>
              </w:rPr>
              <w:t xml:space="preserve"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движение, в т.ч. обучение по оказване на първа помощ за учениците в горните класове;  </w:t>
            </w:r>
          </w:p>
          <w:p w:rsidR="00142762" w:rsidRDefault="00142762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осигуряване на механизъм за обратна връзка и оценка на ефективността от обучението по БДП.</w:t>
            </w:r>
          </w:p>
          <w:p w:rsidR="00142762" w:rsidRPr="00142762" w:rsidRDefault="00142762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62" w:rsidRDefault="00142762" w:rsidP="00487BC8">
            <w:pPr>
              <w:spacing w:after="82"/>
              <w:ind w:left="113" w:right="286"/>
              <w:jc w:val="both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Поставяне на темата във фокуса на обществен дебат </w:t>
            </w:r>
          </w:p>
          <w:p w:rsidR="00142762" w:rsidRPr="00142762" w:rsidRDefault="00142762" w:rsidP="00487BC8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Подобрено управление на  дейностите за възпитание и обучение на децата и учениците по БДП Подготвени деца и ученици в областта на БДП.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D9" w:rsidRDefault="00933AD9" w:rsidP="00933AD9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142762" w:rsidRPr="00142762" w:rsidRDefault="00142762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62" w:rsidRDefault="00142762" w:rsidP="00487BC8">
            <w:pPr>
              <w:spacing w:after="82"/>
              <w:ind w:left="113" w:right="31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мерки за подобряване обучението на деца и ученици по БДП. </w:t>
            </w:r>
          </w:p>
          <w:p w:rsidR="00142762" w:rsidRPr="00142762" w:rsidRDefault="00142762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>постоянен.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62" w:rsidRPr="00142762" w:rsidRDefault="00142762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Докладвана от отговорните институции информация – регулярно и годишно в годишния доклад за изпълнение на политиката по БДП.</w:t>
            </w:r>
          </w:p>
        </w:tc>
      </w:tr>
      <w:tr w:rsidR="00487BC8" w:rsidRPr="00142762" w:rsidTr="00487BC8">
        <w:trPr>
          <w:trHeight w:val="97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BC8" w:rsidRPr="00142762" w:rsidRDefault="00487BC8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CE3B67">
              <w:rPr>
                <w:rFonts w:ascii="Verdana" w:eastAsia="Verdana" w:hAnsi="Verdana" w:cs="Verdana"/>
                <w:sz w:val="20"/>
              </w:rPr>
              <w:lastRenderedPageBreak/>
              <w:t>2.1.2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BC8" w:rsidRDefault="00487BC8" w:rsidP="00487BC8">
            <w:pPr>
              <w:spacing w:after="41" w:line="281" w:lineRule="auto"/>
              <w:ind w:left="110" w:right="51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Организиране и провеждане на Национално състезание по БДП I състезателна група: </w:t>
            </w:r>
          </w:p>
          <w:p w:rsidR="00487BC8" w:rsidRDefault="00487BC8" w:rsidP="00CE3B67">
            <w:pPr>
              <w:spacing w:after="29" w:line="241" w:lineRule="auto"/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учениците от V до VII клас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BC8" w:rsidRDefault="00487BC8" w:rsidP="00487BC8">
            <w:pPr>
              <w:spacing w:after="82"/>
              <w:ind w:left="113" w:right="286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пряка отговорност за това. Подпомага </w:t>
            </w:r>
            <w:r>
              <w:rPr>
                <w:rFonts w:ascii="Verdana" w:eastAsia="Verdana" w:hAnsi="Verdana" w:cs="Verdana"/>
                <w:sz w:val="20"/>
              </w:rPr>
              <w:lastRenderedPageBreak/>
              <w:t>възпитаването на качества от значение за общото личностно развитие като информираност, култура в отношенията, съобразителност,  уважение към общността и правилата. Чрез състезанието могат да се проследят и някои резултати на  учениците, придобити вследствие на обучението по БДП.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BC8" w:rsidRDefault="00CE3B67" w:rsidP="00487BC8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Училище</w:t>
            </w:r>
            <w:r w:rsidR="00487BC8">
              <w:rPr>
                <w:rFonts w:ascii="Verdana" w:eastAsia="Verdana" w:hAnsi="Verdana" w:cs="Verdana"/>
                <w:sz w:val="20"/>
              </w:rPr>
              <w:t xml:space="preserve">, </w:t>
            </w:r>
          </w:p>
          <w:p w:rsidR="00487BC8" w:rsidRDefault="00487BC8" w:rsidP="00487BC8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МВР, Сектор Пътна полиция,</w:t>
            </w:r>
            <w:r w:rsidR="00CE3B67"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>РУО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BC8" w:rsidRDefault="00487BC8" w:rsidP="00487BC8">
            <w:pPr>
              <w:spacing w:after="41" w:line="281" w:lineRule="auto"/>
              <w:ind w:left="113" w:right="29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Организирана и проведена олимпиада по БДП 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</w:p>
          <w:p w:rsidR="00487BC8" w:rsidRDefault="00487BC8" w:rsidP="00487BC8">
            <w:pPr>
              <w:ind w:left="113"/>
            </w:pPr>
            <w:r>
              <w:rPr>
                <w:rFonts w:ascii="Verdana" w:eastAsia="Verdana" w:hAnsi="Verdana" w:cs="Verdana"/>
                <w:sz w:val="20"/>
              </w:rPr>
              <w:t xml:space="preserve">Общински кръг до </w:t>
            </w:r>
          </w:p>
          <w:p w:rsidR="00487BC8" w:rsidRDefault="00BB2471" w:rsidP="00487BC8">
            <w:pPr>
              <w:spacing w:after="62"/>
              <w:ind w:left="113"/>
            </w:pPr>
            <w:r>
              <w:rPr>
                <w:rFonts w:ascii="Verdana" w:eastAsia="Verdana" w:hAnsi="Verdana" w:cs="Verdana"/>
                <w:sz w:val="20"/>
              </w:rPr>
              <w:t>Март;</w:t>
            </w:r>
          </w:p>
          <w:p w:rsidR="00487BC8" w:rsidRDefault="00487BC8" w:rsidP="00487BC8">
            <w:pPr>
              <w:ind w:left="113"/>
            </w:pPr>
            <w:r>
              <w:rPr>
                <w:rFonts w:ascii="Verdana" w:eastAsia="Verdana" w:hAnsi="Verdana" w:cs="Verdana"/>
                <w:sz w:val="20"/>
              </w:rPr>
              <w:t xml:space="preserve">Областен кръг до </w:t>
            </w:r>
          </w:p>
          <w:p w:rsidR="00487BC8" w:rsidRDefault="00BB2471" w:rsidP="00487BC8">
            <w:pPr>
              <w:spacing w:after="62"/>
              <w:ind w:left="113"/>
            </w:pPr>
            <w:r>
              <w:rPr>
                <w:rFonts w:ascii="Verdana" w:eastAsia="Verdana" w:hAnsi="Verdana" w:cs="Verdana"/>
                <w:sz w:val="20"/>
              </w:rPr>
              <w:t>април</w:t>
            </w:r>
          </w:p>
          <w:p w:rsidR="00487BC8" w:rsidRDefault="00487BC8" w:rsidP="00487BC8">
            <w:pPr>
              <w:spacing w:after="60"/>
              <w:ind w:left="113"/>
            </w:pPr>
            <w:r>
              <w:rPr>
                <w:rFonts w:ascii="Verdana" w:eastAsia="Verdana" w:hAnsi="Verdana" w:cs="Verdana"/>
                <w:sz w:val="20"/>
              </w:rPr>
              <w:t xml:space="preserve">Национален кръг: </w:t>
            </w:r>
          </w:p>
          <w:p w:rsidR="00487BC8" w:rsidRDefault="00BB2471" w:rsidP="00487BC8">
            <w:pPr>
              <w:spacing w:after="62"/>
              <w:ind w:left="113"/>
            </w:pPr>
            <w:r>
              <w:rPr>
                <w:rFonts w:ascii="Verdana" w:eastAsia="Verdana" w:hAnsi="Verdana" w:cs="Verdana"/>
                <w:sz w:val="20"/>
              </w:rPr>
              <w:t>Месец юни</w:t>
            </w:r>
          </w:p>
          <w:p w:rsidR="00487BC8" w:rsidRDefault="00BB2471" w:rsidP="00487BC8">
            <w:pPr>
              <w:spacing w:after="82"/>
              <w:ind w:left="113" w:right="314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Месец юни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BC8" w:rsidRDefault="00487BC8" w:rsidP="00487BC8">
            <w:pPr>
              <w:spacing w:after="73" w:line="241" w:lineRule="auto"/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информация. </w:t>
            </w:r>
          </w:p>
          <w:p w:rsidR="00487BC8" w:rsidRDefault="00487BC8" w:rsidP="00487BC8">
            <w:pPr>
              <w:spacing w:after="74" w:line="242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Протоколи от класирането на учениците.</w:t>
            </w:r>
          </w:p>
        </w:tc>
      </w:tr>
    </w:tbl>
    <w:p w:rsidR="00B34983" w:rsidRPr="00487BC8" w:rsidRDefault="00B34983" w:rsidP="00487BC8">
      <w:pPr>
        <w:tabs>
          <w:tab w:val="left" w:pos="4376"/>
        </w:tabs>
        <w:sectPr w:rsidR="00B34983" w:rsidRPr="00487BC8" w:rsidSect="00487BC8">
          <w:footerReference w:type="even" r:id="rId10"/>
          <w:footerReference w:type="default" r:id="rId11"/>
          <w:footerReference w:type="first" r:id="rId12"/>
          <w:pgSz w:w="15840" w:h="12240" w:orient="landscape"/>
          <w:pgMar w:top="1134" w:right="1134" w:bottom="1134" w:left="1418" w:header="170" w:footer="170" w:gutter="0"/>
          <w:cols w:space="708"/>
          <w:titlePg/>
          <w:docGrid w:linePitch="299"/>
        </w:sectPr>
      </w:pPr>
    </w:p>
    <w:p w:rsidR="00B34983" w:rsidRDefault="00B34983">
      <w:pPr>
        <w:spacing w:after="0"/>
        <w:ind w:left="-1440" w:right="14400"/>
      </w:pPr>
    </w:p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CellMar>
          <w:top w:w="42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993"/>
        <w:gridCol w:w="3372"/>
        <w:gridCol w:w="2815"/>
        <w:gridCol w:w="1933"/>
        <w:gridCol w:w="3115"/>
        <w:gridCol w:w="2108"/>
      </w:tblGrid>
      <w:tr w:rsidR="00B34983" w:rsidTr="002E561A">
        <w:trPr>
          <w:trHeight w:val="3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BB5CEB" w:rsidP="00CA70B8">
            <w:pPr>
              <w:ind w:left="2"/>
            </w:pPr>
            <w:r w:rsidRPr="00CA70B8">
              <w:rPr>
                <w:rFonts w:ascii="Verdana" w:eastAsia="Verdana" w:hAnsi="Verdana" w:cs="Verdana"/>
                <w:sz w:val="20"/>
              </w:rPr>
              <w:t>2.1.</w:t>
            </w:r>
            <w:r w:rsidR="00CA70B8" w:rsidRPr="00CA70B8">
              <w:rPr>
                <w:rFonts w:ascii="Verdana" w:eastAsia="Verdana" w:hAnsi="Verdana" w:cs="Verdana"/>
                <w:sz w:val="20"/>
              </w:rPr>
              <w:t>3</w:t>
            </w:r>
            <w:r w:rsidRPr="00CA70B8">
              <w:rPr>
                <w:rFonts w:ascii="Verdana" w:eastAsia="Verdana" w:hAnsi="Verdana" w:cs="Verdana"/>
                <w:sz w:val="20"/>
              </w:rPr>
              <w:t>.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206"/>
            </w:pPr>
            <w:r>
              <w:rPr>
                <w:rFonts w:ascii="Verdana" w:eastAsia="Verdana" w:hAnsi="Verdana" w:cs="Verdana"/>
                <w:sz w:val="20"/>
              </w:rPr>
              <w:t xml:space="preserve">Републикански шампионат по правилата на Международния алианс по туризъм (ФИА) -по безопасност на движението и приложно колоездене и участие в европейски шампионат за деца велосипедисти по правилата на ФИА.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5" w:right="13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Подкрепя усвояването на знания за правилата за движение и формиране на практически умения за адекватно и безопасно поведение в пътна обстановка; Установяване на знания и умения за повреди и управление на велосипед.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0B8" w:rsidRDefault="00CA70B8" w:rsidP="00CA70B8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62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</w:p>
          <w:p w:rsidR="00B34983" w:rsidRDefault="0014603A" w:rsidP="00992675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април – юни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4" w:line="241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информация. </w:t>
            </w:r>
          </w:p>
          <w:p w:rsidR="00B34983" w:rsidRDefault="0014603A">
            <w:pPr>
              <w:ind w:right="33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Протоколи от класирането на учениците. </w:t>
            </w:r>
          </w:p>
        </w:tc>
      </w:tr>
      <w:tr w:rsidR="00B34983" w:rsidTr="002E561A">
        <w:trPr>
          <w:trHeight w:val="51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BB5CEB">
            <w:pPr>
              <w:ind w:left="2"/>
            </w:pPr>
            <w:r w:rsidRPr="00AB36F7">
              <w:rPr>
                <w:rFonts w:ascii="Verdana" w:eastAsia="Verdana" w:hAnsi="Verdana" w:cs="Verdana"/>
                <w:sz w:val="20"/>
              </w:rPr>
              <w:t>2.1</w:t>
            </w:r>
            <w:r w:rsidR="00AB36F7" w:rsidRPr="00AB36F7">
              <w:rPr>
                <w:rFonts w:ascii="Verdana" w:eastAsia="Verdana" w:hAnsi="Verdana" w:cs="Verdana"/>
                <w:sz w:val="20"/>
              </w:rPr>
              <w:t>.4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line="245" w:lineRule="auto"/>
              <w:ind w:right="31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Републикански шампионат “Младежта за безопасност на движението” - по безопасност на </w:t>
            </w:r>
          </w:p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движението и приложно колоездене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8" w:line="241" w:lineRule="auto"/>
              <w:ind w:left="5" w:right="13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Популяризиране движението за безопасност и култура на безопасно поведение в пътна обстановка. </w:t>
            </w:r>
          </w:p>
          <w:p w:rsidR="00B34983" w:rsidRDefault="0014603A">
            <w:pPr>
              <w:spacing w:after="82"/>
              <w:ind w:left="5" w:right="1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Повишаване на техниката и умението за управление на велосипедистите при спазване на правилата по БДП. </w:t>
            </w:r>
          </w:p>
          <w:p w:rsidR="00B34983" w:rsidRDefault="0014603A">
            <w:pPr>
              <w:ind w:left="5" w:right="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Подпомагане на усвояването на приложните елементи от специализираните програми по БДП и медико-санитарна защита.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F7" w:rsidRDefault="00AB36F7" w:rsidP="00AB36F7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62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</w:p>
          <w:p w:rsidR="00B34983" w:rsidRDefault="0014603A" w:rsidP="00992675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април – юли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1" w:line="241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информация. </w:t>
            </w:r>
          </w:p>
          <w:p w:rsidR="00B34983" w:rsidRDefault="0014603A">
            <w:pPr>
              <w:ind w:right="33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Протоколи от класирането на учениците. </w:t>
            </w:r>
          </w:p>
        </w:tc>
      </w:tr>
    </w:tbl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CellMar>
          <w:top w:w="121" w:type="dxa"/>
          <w:left w:w="110" w:type="dxa"/>
          <w:bottom w:w="4" w:type="dxa"/>
        </w:tblCellMar>
        <w:tblLook w:val="04A0" w:firstRow="1" w:lastRow="0" w:firstColumn="1" w:lastColumn="0" w:noHBand="0" w:noVBand="1"/>
      </w:tblPr>
      <w:tblGrid>
        <w:gridCol w:w="993"/>
        <w:gridCol w:w="3253"/>
        <w:gridCol w:w="2823"/>
        <w:gridCol w:w="1953"/>
        <w:gridCol w:w="2920"/>
        <w:gridCol w:w="2394"/>
      </w:tblGrid>
      <w:tr w:rsidR="00B34983" w:rsidTr="002E561A">
        <w:trPr>
          <w:trHeight w:val="3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B5CEB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2.1.</w:t>
            </w:r>
            <w:r w:rsidR="006D3FEB">
              <w:rPr>
                <w:rFonts w:ascii="Verdana" w:eastAsia="Verdana" w:hAnsi="Verdana" w:cs="Verdana"/>
                <w:sz w:val="20"/>
              </w:rPr>
              <w:t>5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4"/>
              <w:ind w:left="5" w:right="13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Осигуряване на безопасен транспорт за учениците в средищните училища. </w:t>
            </w:r>
          </w:p>
          <w:p w:rsidR="00B34983" w:rsidRDefault="0014603A">
            <w:pPr>
              <w:ind w:left="5" w:right="6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Усъвършенстване на контрола за безопасен превоз на деца и ученици в пътните превозни средства.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B" w:rsidRDefault="006D3FEB" w:rsidP="006D3FEB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1"/>
              <w:ind w:left="2" w:right="264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мерки за ограничаване на рисковете от ПТП при осъществяване на организиран превоз на деца.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за </w:t>
            </w:r>
          </w:p>
          <w:p w:rsidR="00B34983" w:rsidRDefault="0014603A">
            <w:pPr>
              <w:spacing w:after="74"/>
            </w:pPr>
            <w:r>
              <w:rPr>
                <w:rFonts w:ascii="Verdana" w:eastAsia="Verdana" w:hAnsi="Verdana" w:cs="Verdana"/>
                <w:sz w:val="20"/>
              </w:rPr>
              <w:t xml:space="preserve">заседания на ДОККПБДП </w:t>
            </w:r>
          </w:p>
          <w:p w:rsidR="00B34983" w:rsidRDefault="0014603A">
            <w:pPr>
              <w:ind w:right="35"/>
            </w:pPr>
            <w:r>
              <w:rPr>
                <w:rFonts w:ascii="Verdana" w:eastAsia="Verdana" w:hAnsi="Verdana" w:cs="Verdana"/>
                <w:sz w:val="20"/>
              </w:rPr>
              <w:t xml:space="preserve">/ОКБДП и годишно в годишния доклад за изпълнение на политиката по БДП. </w:t>
            </w:r>
          </w:p>
        </w:tc>
      </w:tr>
      <w:tr w:rsidR="00B34983" w:rsidTr="002E561A">
        <w:trPr>
          <w:trHeight w:val="34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B5CEB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>2.1.</w:t>
            </w:r>
            <w:r w:rsidR="00AA52D1">
              <w:rPr>
                <w:rFonts w:ascii="Verdana" w:eastAsia="Verdana" w:hAnsi="Verdana" w:cs="Verdana"/>
                <w:sz w:val="20"/>
              </w:rPr>
              <w:t>6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39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Провеждане на кампании на институциите в областта на БДП, насочени към деца и ученици.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9"/>
              <w:ind w:left="5" w:right="89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деца и ученици в областта на БДП. </w:t>
            </w:r>
          </w:p>
          <w:p w:rsidR="00B34983" w:rsidRDefault="0014603A">
            <w:pPr>
              <w:ind w:left="5"/>
            </w:pPr>
            <w:r>
              <w:rPr>
                <w:rFonts w:ascii="Verdana" w:eastAsia="Verdana" w:hAnsi="Verdana" w:cs="Verdana"/>
                <w:sz w:val="20"/>
              </w:rPr>
              <w:t xml:space="preserve">Повишаване на информираността за рисковите фактори, свързани с безопасността на движението по пътищата.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D1" w:rsidRDefault="00AA52D1" w:rsidP="00AA52D1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кампанийни инициативи в областта на БДП, насочени към деца и ученици.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9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за заседания на ДОККПБДП/ </w:t>
            </w:r>
          </w:p>
          <w:p w:rsidR="00B34983" w:rsidRDefault="0014603A">
            <w:pPr>
              <w:ind w:right="14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ОКБДП и годишно в годишния доклад за изпълнение на политиката по БДП. </w:t>
            </w:r>
          </w:p>
        </w:tc>
      </w:tr>
      <w:tr w:rsidR="00B34983" w:rsidTr="002E561A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B5CEB">
            <w:pPr>
              <w:ind w:left="2"/>
            </w:pPr>
            <w:r w:rsidRPr="00AA52D1">
              <w:rPr>
                <w:rFonts w:ascii="Verdana" w:eastAsia="Verdana" w:hAnsi="Verdana" w:cs="Verdana"/>
                <w:sz w:val="20"/>
              </w:rPr>
              <w:t>2.1.</w:t>
            </w:r>
            <w:r w:rsidR="00AA52D1" w:rsidRPr="00AA52D1">
              <w:rPr>
                <w:rFonts w:ascii="Verdana" w:eastAsia="Verdana" w:hAnsi="Verdana" w:cs="Verdana"/>
                <w:sz w:val="20"/>
              </w:rPr>
              <w:t>7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120"/>
            </w:pPr>
            <w:r>
              <w:rPr>
                <w:rFonts w:ascii="Verdana" w:eastAsia="Verdana" w:hAnsi="Verdana" w:cs="Verdana"/>
                <w:sz w:val="20"/>
              </w:rPr>
              <w:t xml:space="preserve">Провеждане на кампания „Пътят на първокласника“.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Определяне на най- безопасния маршрут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AA52D1">
            <w:r>
              <w:rPr>
                <w:rFonts w:ascii="Verdana" w:eastAsia="Verdana" w:hAnsi="Verdana" w:cs="Verdana"/>
                <w:sz w:val="20"/>
              </w:rPr>
              <w:t>Училище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, РУО, </w:t>
            </w:r>
          </w:p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ОДМВР, общини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4983" w:rsidRDefault="0014603A">
            <w:pPr>
              <w:ind w:left="2" w:right="41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кампанийни инициативи в областта на БДП, насочени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</w:t>
            </w:r>
          </w:p>
        </w:tc>
      </w:tr>
    </w:tbl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CellMar>
          <w:top w:w="12" w:type="dxa"/>
          <w:left w:w="5" w:type="dxa"/>
          <w:right w:w="79" w:type="dxa"/>
        </w:tblCellMar>
        <w:tblLook w:val="04A0" w:firstRow="1" w:lastRow="0" w:firstColumn="1" w:lastColumn="0" w:noHBand="0" w:noVBand="1"/>
      </w:tblPr>
      <w:tblGrid>
        <w:gridCol w:w="993"/>
        <w:gridCol w:w="3327"/>
        <w:gridCol w:w="2805"/>
        <w:gridCol w:w="1937"/>
        <w:gridCol w:w="2634"/>
        <w:gridCol w:w="2640"/>
      </w:tblGrid>
      <w:tr w:rsidR="00B34983" w:rsidTr="002E561A">
        <w:trPr>
          <w:trHeight w:val="42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10" w:right="12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8" w:right="533"/>
            </w:pPr>
            <w:r>
              <w:rPr>
                <w:rFonts w:ascii="Verdana" w:eastAsia="Verdana" w:hAnsi="Verdana" w:cs="Verdana"/>
                <w:sz w:val="20"/>
              </w:rPr>
              <w:t xml:space="preserve">към ученици от начален етап на основното образование 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>ежегодно  през месец септември.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2" w:line="241" w:lineRule="auto"/>
              <w:ind w:left="106" w:right="10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институции информация – регулярно за заседания на ОБКБДП и годишно в областния годишен доклад за изпълнение на политиката по </w:t>
            </w:r>
          </w:p>
          <w:p w:rsidR="00B34983" w:rsidRDefault="0014603A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БДП на ОКБДП. </w:t>
            </w:r>
          </w:p>
        </w:tc>
      </w:tr>
    </w:tbl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Layout w:type="fixed"/>
        <w:tblCellMar>
          <w:top w:w="54" w:type="dxa"/>
          <w:left w:w="110" w:type="dxa"/>
          <w:right w:w="11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051"/>
        <w:gridCol w:w="1939"/>
        <w:gridCol w:w="2806"/>
        <w:gridCol w:w="2854"/>
      </w:tblGrid>
      <w:tr w:rsidR="00B34983" w:rsidTr="002E561A">
        <w:trPr>
          <w:trHeight w:val="2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AA75F6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>2.1.</w:t>
            </w:r>
            <w:r w:rsidR="00AA75F6">
              <w:rPr>
                <w:rFonts w:ascii="Verdana" w:eastAsia="Verdana" w:hAnsi="Verdana" w:cs="Verdana"/>
                <w:sz w:val="20"/>
              </w:rPr>
              <w:t>8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46"/>
            </w:pPr>
            <w:r>
              <w:rPr>
                <w:rFonts w:ascii="Verdana" w:eastAsia="Verdana" w:hAnsi="Verdana" w:cs="Verdana"/>
                <w:sz w:val="20"/>
              </w:rPr>
              <w:t xml:space="preserve">Провеждане на кампании на ОКБДП за безопасна градска мобилност, насочени към деца и ученици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5" w:right="77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деца и ученици в областта на БДП. </w:t>
            </w:r>
          </w:p>
          <w:p w:rsidR="00B34983" w:rsidRDefault="0014603A">
            <w:pPr>
              <w:ind w:left="5"/>
            </w:pPr>
            <w:r>
              <w:rPr>
                <w:rFonts w:ascii="Verdana" w:eastAsia="Verdana" w:hAnsi="Verdana" w:cs="Verdana"/>
                <w:sz w:val="20"/>
              </w:rPr>
              <w:t xml:space="preserve">Повишаване на информираността за рисковите фактори, свързани с безопасността на движението по пътищата.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C7" w:rsidRDefault="0014603A" w:rsidP="00684AC7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РУО, </w:t>
            </w:r>
            <w:r w:rsidR="00684AC7"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>
            <w:pPr>
              <w:jc w:val="both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кампанийни инициативи в областта на БДП, насочени към деца и ученици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17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за заседания на ОКБДП и годишно в областния годишен доклад за изпълнение на политиката по БДП. </w:t>
            </w:r>
          </w:p>
        </w:tc>
      </w:tr>
      <w:tr w:rsidR="00B34983" w:rsidTr="002E561A">
        <w:trPr>
          <w:trHeight w:val="38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FA5CDC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2.1.</w:t>
            </w:r>
            <w:r w:rsidR="00FA5CDC">
              <w:rPr>
                <w:rFonts w:ascii="Verdana" w:eastAsia="Verdana" w:hAnsi="Verdana" w:cs="Verdana"/>
                <w:sz w:val="20"/>
              </w:rPr>
              <w:t>9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FA5CDC">
            <w:pPr>
              <w:ind w:right="664"/>
              <w:jc w:val="both"/>
            </w:pPr>
            <w:r>
              <w:rPr>
                <w:rFonts w:ascii="Verdana" w:eastAsia="Verdana" w:hAnsi="Verdana" w:cs="Verdana"/>
                <w:sz w:val="20"/>
              </w:rPr>
              <w:t>Активизиране на дейността на вътрешно-институционални комисии в развитието на средата за обучение по БДП и прилежащата пътна инфраструктура и организация на движението в непос</w:t>
            </w:r>
            <w:r w:rsidR="00FA5CDC">
              <w:rPr>
                <w:rFonts w:ascii="Verdana" w:eastAsia="Verdana" w:hAnsi="Verdana" w:cs="Verdana"/>
                <w:sz w:val="20"/>
              </w:rPr>
              <w:t>редствена близост до Училището.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5" w:right="3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 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ВИКБДП, РУО, </w:t>
            </w:r>
          </w:p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ОДМВР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4"/>
              <w:ind w:left="2" w:right="604"/>
            </w:pPr>
            <w:r>
              <w:rPr>
                <w:rFonts w:ascii="Verdana" w:eastAsia="Verdana" w:hAnsi="Verdana" w:cs="Verdana"/>
                <w:sz w:val="20"/>
              </w:rPr>
              <w:t xml:space="preserve">Дейност на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вътрешноинституционални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комисии по безопасност на движението по пътищата.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3" w:line="241" w:lineRule="auto"/>
              <w:ind w:right="6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Отчети за дейността на комисиите. </w:t>
            </w:r>
          </w:p>
          <w:p w:rsidR="00B34983" w:rsidRDefault="0014603A" w:rsidP="00EA6369">
            <w:pPr>
              <w:ind w:right="112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за изпълнение на политиката по БДП. </w:t>
            </w:r>
          </w:p>
        </w:tc>
      </w:tr>
      <w:tr w:rsidR="00B34983" w:rsidTr="002E561A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2.2 </w:t>
            </w:r>
          </w:p>
        </w:tc>
        <w:tc>
          <w:tcPr>
            <w:tcW w:w="13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spacing w:after="6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34983" w:rsidRDefault="0014603A">
            <w:pPr>
              <w:jc w:val="both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Подготовка на образовани, обучени и информирани водачи, притежаващи квалификация и отговорно поведение за безопасно управление на пътни превозни средства </w:t>
            </w:r>
          </w:p>
        </w:tc>
      </w:tr>
      <w:tr w:rsidR="00B34983" w:rsidTr="002E561A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"/>
            </w:pPr>
            <w:r w:rsidRPr="009F72F2">
              <w:rPr>
                <w:rFonts w:ascii="Verdana" w:eastAsia="Verdana" w:hAnsi="Verdana" w:cs="Verdana"/>
                <w:sz w:val="20"/>
              </w:rPr>
              <w:t>2.2.1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right="78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Изпълнение на цялостна концепция за реда, изискванията,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водачи за безопасно управление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ДАБДП, МОН, </w:t>
            </w:r>
          </w:p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МТИТС/ИААА,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Разработени документи и изпълнени мерки за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Документи от националното и </w:t>
            </w:r>
          </w:p>
        </w:tc>
      </w:tr>
    </w:tbl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851"/>
        <w:gridCol w:w="3667"/>
        <w:gridCol w:w="2688"/>
        <w:gridCol w:w="1993"/>
        <w:gridCol w:w="2314"/>
        <w:gridCol w:w="2823"/>
      </w:tblGrid>
      <w:tr w:rsidR="00B34983" w:rsidTr="002E561A">
        <w:trPr>
          <w:trHeight w:val="4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6" w:right="12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организацията, условията и начина на провеждане на обучението на кандидат-водачите и придобиване на правоспособност за управление на ППС.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на пътни превозни средства.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9F72F2" w:rsidP="009F72F2">
            <w:pPr>
              <w:ind w:left="106" w:right="290"/>
              <w:jc w:val="both"/>
            </w:pPr>
            <w:r>
              <w:rPr>
                <w:rFonts w:ascii="Verdana" w:eastAsia="Verdana" w:hAnsi="Verdana" w:cs="Verdana"/>
                <w:sz w:val="20"/>
              </w:rPr>
              <w:t>Училище</w:t>
            </w:r>
            <w:r w:rsidR="00A17F54">
              <w:rPr>
                <w:rFonts w:ascii="Verdana" w:eastAsia="Verdana" w:hAnsi="Verdana" w:cs="Verdana"/>
                <w:sz w:val="20"/>
              </w:rPr>
              <w:t xml:space="preserve">, </w:t>
            </w:r>
            <w:r w:rsidR="0014603A">
              <w:rPr>
                <w:rFonts w:ascii="Verdana" w:eastAsia="Verdana" w:hAnsi="Verdana" w:cs="Verdana"/>
                <w:sz w:val="20"/>
              </w:rPr>
              <w:t xml:space="preserve">в партньорство с научните и академичните среди, НПО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4" w:line="241" w:lineRule="auto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подобряване на реда, изискванията, организацията, условията и начина на провеждане на обучението за придобиване на правоспособност за управление на МПС, провеждане на изпитите на кандидатите и разработване на предложения за промени в нормативните актове.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7"/>
              <w:ind w:left="106" w:right="57"/>
            </w:pPr>
            <w:r>
              <w:rPr>
                <w:rFonts w:ascii="Verdana" w:eastAsia="Verdana" w:hAnsi="Verdana" w:cs="Verdana"/>
                <w:sz w:val="20"/>
              </w:rPr>
              <w:t xml:space="preserve">международното законодателство и добри практики </w:t>
            </w:r>
          </w:p>
          <w:p w:rsidR="00B34983" w:rsidRDefault="0014603A">
            <w:pPr>
              <w:spacing w:after="90" w:line="239" w:lineRule="auto"/>
              <w:ind w:left="106" w:right="22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Концепция за обучение, подготвена в резултат от дейността на работната група. </w:t>
            </w:r>
          </w:p>
          <w:p w:rsidR="00B34983" w:rsidRDefault="0014603A" w:rsidP="001A43FE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и годишно в годишния доклад за изпълнение на политиката по БДП. </w:t>
            </w:r>
          </w:p>
        </w:tc>
      </w:tr>
      <w:tr w:rsidR="00B34983" w:rsidTr="002E561A">
        <w:trPr>
          <w:trHeight w:val="42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8"/>
            </w:pPr>
            <w:r w:rsidRPr="008E13B2">
              <w:rPr>
                <w:rFonts w:ascii="Verdana" w:eastAsia="Verdana" w:hAnsi="Verdana" w:cs="Verdana"/>
                <w:sz w:val="20"/>
              </w:rPr>
              <w:t>2.2.2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6" w:right="80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Организиране и провеждане на превантивни кампании за опазване живота и здравето на водачите на ППС с акцент върху превишената/несъобразената скорост, шофирането след употреба на алкохол, наркотични вещества и техните аналози, ползването на предпазни средства, техническата изправност на МПС, поведението на участниците в движението към уязвимите участници в него, при преминаване на автомобил със специален режим на движение и др.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4"/>
              <w:ind w:left="110" w:right="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водачи за безопасно управление на пътни превозни средства. </w:t>
            </w:r>
          </w:p>
          <w:p w:rsidR="00B34983" w:rsidRDefault="0014603A">
            <w:pPr>
              <w:spacing w:after="90" w:line="239" w:lineRule="auto"/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Допълващо и надграждащо обучение за водачите на МПС след придобиване на правоспособност </w:t>
            </w:r>
          </w:p>
          <w:p w:rsidR="00B34983" w:rsidRDefault="0014603A">
            <w:pPr>
              <w:ind w:left="110"/>
            </w:pPr>
            <w:r>
              <w:rPr>
                <w:rFonts w:ascii="Verdana" w:eastAsia="Verdana" w:hAnsi="Verdana" w:cs="Verdana"/>
                <w:sz w:val="20"/>
              </w:rPr>
              <w:t xml:space="preserve">Повишаване на информираността за рисковите фактори, свързани с безопасността на движението по пътищата.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B2" w:rsidRDefault="008E13B2" w:rsidP="008E13B2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>
            <w:pPr>
              <w:ind w:left="106" w:right="108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Организирани и проведени кампании. </w:t>
            </w:r>
          </w:p>
          <w:p w:rsidR="00B34983" w:rsidRDefault="0014603A">
            <w:pPr>
              <w:spacing w:after="82" w:line="241" w:lineRule="auto"/>
              <w:ind w:left="108" w:right="8"/>
            </w:pPr>
            <w:r>
              <w:rPr>
                <w:rFonts w:ascii="Verdana" w:eastAsia="Verdana" w:hAnsi="Verdana" w:cs="Verdana"/>
                <w:sz w:val="20"/>
              </w:rPr>
              <w:t xml:space="preserve">Подготвени материали за провеждане на кампаниите, съгласувани с Национален център по обществено здраве и анализи, във връзка с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методологически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ръководства по изпълнение на Националната стратегия за борба с наркотиците.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EA6369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Информация, докладвана на </w:t>
            </w:r>
            <w:r w:rsidR="00EA6369">
              <w:rPr>
                <w:rFonts w:ascii="Verdana" w:eastAsia="Verdana" w:hAnsi="Verdana" w:cs="Verdana"/>
                <w:sz w:val="20"/>
              </w:rPr>
              <w:t>РУО</w:t>
            </w:r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</w:tbl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CellMar>
          <w:top w:w="128" w:type="dxa"/>
          <w:left w:w="110" w:type="dxa"/>
          <w:right w:w="88" w:type="dxa"/>
        </w:tblCellMar>
        <w:tblLook w:val="04A0" w:firstRow="1" w:lastRow="0" w:firstColumn="1" w:lastColumn="0" w:noHBand="0" w:noVBand="1"/>
      </w:tblPr>
      <w:tblGrid>
        <w:gridCol w:w="851"/>
        <w:gridCol w:w="3681"/>
        <w:gridCol w:w="2760"/>
        <w:gridCol w:w="1776"/>
        <w:gridCol w:w="2353"/>
        <w:gridCol w:w="2915"/>
      </w:tblGrid>
      <w:tr w:rsidR="00B34983" w:rsidTr="002E561A">
        <w:trPr>
          <w:trHeight w:val="34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"/>
            </w:pPr>
            <w:r w:rsidRPr="003B7C02">
              <w:rPr>
                <w:rFonts w:ascii="Verdana" w:eastAsia="Verdana" w:hAnsi="Verdana" w:cs="Verdana"/>
                <w:sz w:val="20"/>
              </w:rPr>
              <w:lastRenderedPageBreak/>
              <w:t>2.2.3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r>
              <w:rPr>
                <w:rFonts w:ascii="Verdana" w:eastAsia="Verdana" w:hAnsi="Verdana" w:cs="Verdana"/>
                <w:sz w:val="20"/>
              </w:rPr>
              <w:t xml:space="preserve">Изпълнение на специализирани мерки за рискови групи водачи: нови водачи, водачи с регистрирани нарушения, водачи с възраст над 65 г., в т.ч. обучения за въздействието на наркотичните вещества и техните аналози върху централната нервна система и последиците при управление на превозно средство след тяхната употреба.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8" w:line="241" w:lineRule="auto"/>
              <w:ind w:left="5"/>
            </w:pPr>
            <w:r>
              <w:rPr>
                <w:rFonts w:ascii="Verdana" w:eastAsia="Verdana" w:hAnsi="Verdana" w:cs="Verdana"/>
                <w:sz w:val="20"/>
              </w:rPr>
              <w:t xml:space="preserve">Допълващо и надграждащо обучение за водачите на МПС след придобиване на правоспособност. </w:t>
            </w:r>
          </w:p>
          <w:p w:rsidR="00B34983" w:rsidRDefault="0014603A">
            <w:pPr>
              <w:ind w:left="5"/>
            </w:pPr>
            <w:r>
              <w:rPr>
                <w:rFonts w:ascii="Verdana" w:eastAsia="Verdana" w:hAnsi="Verdana" w:cs="Verdana"/>
                <w:sz w:val="20"/>
              </w:rPr>
              <w:t xml:space="preserve">Повишаване на информираността за рисковите фактори, свързани с безопасността на движението по пътищата.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02" w:rsidRDefault="003B7C02" w:rsidP="003B7C02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B34983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79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Изпълнени специализирани мерки. </w:t>
            </w:r>
          </w:p>
          <w:p w:rsidR="00B34983" w:rsidRDefault="0014603A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A17F54">
            <w:pPr>
              <w:spacing w:after="91"/>
            </w:pPr>
            <w:r>
              <w:rPr>
                <w:rFonts w:ascii="Verdana" w:eastAsia="Verdana" w:hAnsi="Verdana" w:cs="Verdana"/>
                <w:sz w:val="20"/>
              </w:rPr>
              <w:t>Провеждане на инструктажи и информиране на пътници и водачи на МПС/шофьори на училищни автобуси</w:t>
            </w:r>
          </w:p>
          <w:p w:rsidR="00B34983" w:rsidRDefault="0014603A" w:rsidP="00A17F54">
            <w:r>
              <w:rPr>
                <w:rFonts w:ascii="Verdana" w:eastAsia="Verdana" w:hAnsi="Verdana" w:cs="Verdana"/>
                <w:sz w:val="20"/>
              </w:rPr>
              <w:t xml:space="preserve">Информация, докладвана на </w:t>
            </w:r>
            <w:r w:rsidR="00A17F54">
              <w:rPr>
                <w:rFonts w:ascii="Verdana" w:eastAsia="Verdana" w:hAnsi="Verdana" w:cs="Verdana"/>
                <w:sz w:val="20"/>
              </w:rPr>
              <w:t>комисиите по БДП в образователната институция</w:t>
            </w:r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B34983" w:rsidTr="002E561A">
        <w:trPr>
          <w:trHeight w:val="7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2.3 </w:t>
            </w:r>
          </w:p>
        </w:tc>
        <w:tc>
          <w:tcPr>
            <w:tcW w:w="13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34983" w:rsidRDefault="0014603A">
            <w:pPr>
              <w:spacing w:after="6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34983" w:rsidRDefault="0014603A">
            <w:r>
              <w:rPr>
                <w:rFonts w:ascii="Verdana" w:eastAsia="Verdana" w:hAnsi="Verdana" w:cs="Verdana"/>
                <w:b/>
                <w:sz w:val="20"/>
              </w:rPr>
              <w:t xml:space="preserve">Повишаване на обществената чувствителност към темата за БДП </w:t>
            </w:r>
          </w:p>
        </w:tc>
      </w:tr>
    </w:tbl>
    <w:p w:rsidR="00B34983" w:rsidRDefault="00B34983">
      <w:pPr>
        <w:spacing w:after="0"/>
        <w:ind w:left="-1440" w:right="14400"/>
      </w:pPr>
    </w:p>
    <w:tbl>
      <w:tblPr>
        <w:tblStyle w:val="TableGrid"/>
        <w:tblW w:w="14336" w:type="dxa"/>
        <w:tblInd w:w="-572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851"/>
        <w:gridCol w:w="3754"/>
        <w:gridCol w:w="2501"/>
        <w:gridCol w:w="1949"/>
        <w:gridCol w:w="2366"/>
        <w:gridCol w:w="2915"/>
      </w:tblGrid>
      <w:tr w:rsidR="00B34983" w:rsidTr="002E561A">
        <w:trPr>
          <w:trHeight w:val="33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 w:rsidP="00BC5F17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t>2.3.</w:t>
            </w:r>
            <w:r w:rsidR="00BC5F17">
              <w:rPr>
                <w:rFonts w:ascii="Verdana" w:eastAsia="Verdana" w:hAnsi="Verdana" w:cs="Verdana"/>
                <w:sz w:val="20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Отбелязване на 29 юни – Деня на безопасността на движението по пътищата.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ind w:left="11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Популяризиране на политиката за БДП.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25" w:rsidRDefault="00631B25" w:rsidP="00631B25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34983" w:rsidRDefault="0014603A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 в партньорство с НПО, граждански организации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82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Организирани и проведени мероприятия. </w:t>
            </w:r>
          </w:p>
          <w:p w:rsidR="00B34983" w:rsidRDefault="0014603A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ежегодно, 29 юни.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983" w:rsidRDefault="0014603A">
            <w:pPr>
              <w:spacing w:after="2" w:line="241" w:lineRule="auto"/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за </w:t>
            </w:r>
          </w:p>
          <w:p w:rsidR="00B34983" w:rsidRDefault="0014603A" w:rsidP="00BC5F17">
            <w:pPr>
              <w:ind w:left="106" w:right="14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заседания на </w:t>
            </w:r>
            <w:r w:rsidR="00BC5F17">
              <w:rPr>
                <w:rFonts w:ascii="Verdana" w:eastAsia="Verdana" w:hAnsi="Verdana" w:cs="Verdana"/>
                <w:sz w:val="20"/>
              </w:rPr>
              <w:t xml:space="preserve">комисии по </w:t>
            </w:r>
            <w:r>
              <w:rPr>
                <w:rFonts w:ascii="Verdana" w:eastAsia="Verdana" w:hAnsi="Verdana" w:cs="Verdana"/>
                <w:sz w:val="20"/>
              </w:rPr>
              <w:t xml:space="preserve">БДП, и годишно в годишния доклад за изпълнение на политиката по БДП. </w:t>
            </w:r>
          </w:p>
        </w:tc>
      </w:tr>
      <w:tr w:rsidR="00BC5F17" w:rsidTr="002E561A">
        <w:trPr>
          <w:trHeight w:val="2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ind w:left="108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2.3.2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ind w:left="10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Отбелязване на Европейската седмица на мобилността, </w:t>
            </w:r>
          </w:p>
          <w:p w:rsidR="00BC5F17" w:rsidRDefault="00BC5F17" w:rsidP="00BC5F17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Международния ден за безопасност на движението по пътищата, Европейския ден без загинали на пътя/EDWARD, Световния ден за възпоменание на жертвите от пътнотранспортни произшествия и др.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ind w:left="11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Популяризиране на политиката за БДП.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4" w:rsidRDefault="003610D4" w:rsidP="003610D4">
            <w:pPr>
              <w:ind w:left="11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Училище, училищна комисия по БДП</w:t>
            </w:r>
          </w:p>
          <w:p w:rsidR="00BC5F17" w:rsidRDefault="00BC5F17" w:rsidP="00BC5F17">
            <w:pPr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 в партньорство с НПО, граждански организации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spacing w:after="79"/>
              <w:ind w:left="108"/>
            </w:pPr>
            <w:r>
              <w:rPr>
                <w:rFonts w:ascii="Verdana" w:eastAsia="Verdana" w:hAnsi="Verdana" w:cs="Verdana"/>
                <w:sz w:val="20"/>
              </w:rPr>
              <w:t xml:space="preserve">Организирани и проведени мероприятия. </w:t>
            </w:r>
          </w:p>
          <w:p w:rsidR="00BC5F17" w:rsidRDefault="00BC5F17" w:rsidP="00BC5F17">
            <w:pPr>
              <w:ind w:left="108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ежегодно.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spacing w:after="2" w:line="241" w:lineRule="auto"/>
              <w:ind w:left="106"/>
            </w:pPr>
            <w:r>
              <w:rPr>
                <w:rFonts w:ascii="Verdana" w:eastAsia="Verdana" w:hAnsi="Verdana" w:cs="Verdana"/>
                <w:sz w:val="20"/>
              </w:rPr>
              <w:t xml:space="preserve">Докладвана от отговорните институции информация – регулярно за </w:t>
            </w:r>
          </w:p>
          <w:p w:rsidR="00BC5F17" w:rsidRDefault="00BC5F17" w:rsidP="00BC5F17">
            <w:pPr>
              <w:ind w:left="106" w:right="141"/>
              <w:jc w:val="both"/>
            </w:pPr>
            <w:r>
              <w:rPr>
                <w:rFonts w:ascii="Verdana" w:eastAsia="Verdana" w:hAnsi="Verdana" w:cs="Verdana"/>
                <w:sz w:val="20"/>
              </w:rPr>
              <w:t>заседания на комисии по БДП, и годишно в годишния доклад за изпълнение на политиката по БДП</w:t>
            </w:r>
          </w:p>
        </w:tc>
      </w:tr>
      <w:tr w:rsidR="00BC5F17" w:rsidTr="002E561A">
        <w:trPr>
          <w:trHeight w:val="7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5F17" w:rsidRDefault="00BC5F17" w:rsidP="00BC5F17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2.4 </w:t>
            </w:r>
          </w:p>
        </w:tc>
        <w:tc>
          <w:tcPr>
            <w:tcW w:w="8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1CC"/>
          </w:tcPr>
          <w:p w:rsidR="00BC5F17" w:rsidRDefault="00BC5F17" w:rsidP="00BC5F17">
            <w:pPr>
              <w:spacing w:after="6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Цел: </w:t>
            </w:r>
          </w:p>
          <w:p w:rsidR="00BC5F17" w:rsidRDefault="00BC5F17" w:rsidP="00BC5F17">
            <w:r>
              <w:rPr>
                <w:rFonts w:ascii="Verdana" w:eastAsia="Verdana" w:hAnsi="Verdana" w:cs="Verdana"/>
                <w:b/>
                <w:sz w:val="20"/>
              </w:rPr>
              <w:t xml:space="preserve">Развитие на социално-отговорна организационна култура за БДП 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1CC"/>
          </w:tcPr>
          <w:p w:rsidR="00BC5F17" w:rsidRDefault="00BC5F17" w:rsidP="00BC5F17"/>
        </w:tc>
        <w:tc>
          <w:tcPr>
            <w:tcW w:w="2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BC5F17" w:rsidRDefault="00BC5F17" w:rsidP="00BC5F17"/>
        </w:tc>
      </w:tr>
      <w:tr w:rsidR="00BC5F17" w:rsidTr="002E561A">
        <w:trPr>
          <w:trHeight w:val="31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2.4.1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ind w:right="34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Прилагане на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sz w:val="20"/>
              </w:rPr>
              <w:t xml:space="preserve">комплекс от мерки по БДП спрямо работещите в бюджетни организации.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ind w:left="5"/>
            </w:pPr>
            <w:r>
              <w:rPr>
                <w:rFonts w:ascii="Verdana" w:eastAsia="Verdana" w:hAnsi="Verdana" w:cs="Verdana"/>
                <w:sz w:val="20"/>
              </w:rPr>
              <w:t xml:space="preserve">Предпазване на работещите в бюджетните организации от ПТП при служебното им взаимодействие с пътната система.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r>
              <w:rPr>
                <w:rFonts w:ascii="Verdana" w:eastAsia="Verdana" w:hAnsi="Verdana" w:cs="Verdana"/>
                <w:sz w:val="20"/>
              </w:rPr>
              <w:t xml:space="preserve">ДССД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spacing w:after="89" w:line="238" w:lineRule="auto"/>
              <w:ind w:left="2" w:right="35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Функциониращи системи от мерки по БДП в бюджетните организации. </w:t>
            </w:r>
          </w:p>
          <w:p w:rsidR="00BC5F17" w:rsidRDefault="00BC5F17" w:rsidP="00BC5F17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Срок: </w:t>
            </w:r>
            <w:r>
              <w:rPr>
                <w:rFonts w:ascii="Verdana" w:eastAsia="Verdana" w:hAnsi="Verdana" w:cs="Verdana"/>
                <w:sz w:val="20"/>
              </w:rPr>
              <w:t xml:space="preserve">постоянен.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17" w:rsidRDefault="00BC5F17" w:rsidP="00BC5F17">
            <w:pPr>
              <w:spacing w:after="81" w:line="241" w:lineRule="auto"/>
              <w:ind w:right="25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Разработена от ДАБДП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стандар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-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тизирана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методология за предпазване на работещите в бюджетните организации от ПТП при служебното им взаимодействие с пътната система. </w:t>
            </w:r>
          </w:p>
          <w:p w:rsidR="00BC5F17" w:rsidRDefault="00BC5F17" w:rsidP="00BC5F17">
            <w:pPr>
              <w:spacing w:after="81" w:line="241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Системи от мерки по БДП на бюджетните организации. </w:t>
            </w:r>
          </w:p>
          <w:p w:rsidR="00BC5F17" w:rsidRDefault="00BC5F17" w:rsidP="00BC5F17">
            <w:pPr>
              <w:ind w:right="70"/>
              <w:jc w:val="both"/>
            </w:pPr>
          </w:p>
        </w:tc>
      </w:tr>
    </w:tbl>
    <w:p w:rsidR="00B34983" w:rsidRDefault="0014603A">
      <w:pPr>
        <w:spacing w:after="0"/>
        <w:ind w:left="-1241"/>
        <w:jc w:val="both"/>
      </w:pPr>
      <w:r>
        <w:rPr>
          <w:rFonts w:ascii="Verdana" w:eastAsia="Verdana" w:hAnsi="Verdana" w:cs="Verdana"/>
        </w:rPr>
        <w:t xml:space="preserve"> </w:t>
      </w:r>
    </w:p>
    <w:sectPr w:rsidR="00B34983">
      <w:footerReference w:type="even" r:id="rId13"/>
      <w:footerReference w:type="default" r:id="rId14"/>
      <w:footerReference w:type="first" r:id="rId15"/>
      <w:pgSz w:w="15840" w:h="12240" w:orient="landscape"/>
      <w:pgMar w:top="715" w:right="1440" w:bottom="1416" w:left="1440" w:header="708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F5" w:rsidRDefault="004B4CF5">
      <w:pPr>
        <w:spacing w:after="0" w:line="240" w:lineRule="auto"/>
      </w:pPr>
      <w:r>
        <w:separator/>
      </w:r>
    </w:p>
  </w:endnote>
  <w:endnote w:type="continuationSeparator" w:id="0">
    <w:p w:rsidR="004B4CF5" w:rsidRDefault="004B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18" w:rsidRDefault="003F2C18">
    <w:pPr>
      <w:spacing w:after="0"/>
      <w:ind w:right="-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675" w:rsidRPr="00992675">
      <w:rPr>
        <w:rFonts w:ascii="Verdana" w:eastAsia="Verdana" w:hAnsi="Verdana" w:cs="Verdana"/>
        <w:noProof/>
      </w:rPr>
      <w:t>10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3F2C18" w:rsidRDefault="003F2C18">
    <w:pPr>
      <w:spacing w:after="0"/>
    </w:pPr>
    <w:r>
      <w:rPr>
        <w:rFonts w:ascii="Verdana" w:eastAsia="Verdana" w:hAnsi="Verdana" w:cs="Verdana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18" w:rsidRDefault="003F2C18">
    <w:pPr>
      <w:spacing w:after="0"/>
      <w:ind w:right="-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675" w:rsidRPr="00992675">
      <w:rPr>
        <w:rFonts w:ascii="Verdana" w:eastAsia="Verdana" w:hAnsi="Verdana" w:cs="Verdana"/>
        <w:noProof/>
      </w:rPr>
      <w:t>11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3F2C18" w:rsidRDefault="003F2C18">
    <w:pPr>
      <w:spacing w:after="0"/>
    </w:pPr>
    <w:r>
      <w:rPr>
        <w:rFonts w:ascii="Verdana" w:eastAsia="Verdana" w:hAnsi="Verdana" w:cs="Verdana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18" w:rsidRDefault="003F2C18">
    <w:pPr>
      <w:spacing w:after="0"/>
      <w:ind w:right="-9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2471" w:rsidRPr="00BB2471">
      <w:rPr>
        <w:rFonts w:ascii="Verdana" w:eastAsia="Verdana" w:hAnsi="Verdana" w:cs="Verdana"/>
        <w:noProof/>
      </w:rPr>
      <w:t>1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18" w:rsidRDefault="003F2C18">
    <w:pPr>
      <w:spacing w:after="0"/>
      <w:ind w:right="-9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675" w:rsidRPr="00992675">
      <w:rPr>
        <w:rFonts w:ascii="Verdana" w:eastAsia="Verdana" w:hAnsi="Verdana" w:cs="Verdana"/>
        <w:noProof/>
      </w:rPr>
      <w:t>18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3F2C18" w:rsidRDefault="003F2C18">
    <w:pPr>
      <w:spacing w:after="0"/>
      <w:ind w:left="-1241"/>
    </w:pPr>
    <w:r>
      <w:rPr>
        <w:rFonts w:ascii="Verdana" w:eastAsia="Verdana" w:hAnsi="Verdana" w:cs="Verdana"/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18" w:rsidRDefault="003F2C18">
    <w:pPr>
      <w:spacing w:after="0"/>
      <w:ind w:right="-9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675" w:rsidRPr="00992675">
      <w:rPr>
        <w:rFonts w:ascii="Verdana" w:eastAsia="Verdana" w:hAnsi="Verdana" w:cs="Verdana"/>
        <w:noProof/>
      </w:rPr>
      <w:t>17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3F2C18" w:rsidRDefault="003F2C18">
    <w:pPr>
      <w:spacing w:after="0"/>
      <w:ind w:left="-1241"/>
    </w:pPr>
    <w:r>
      <w:rPr>
        <w:rFonts w:ascii="Verdana" w:eastAsia="Verdana" w:hAnsi="Verdana" w:cs="Verdana"/>
        <w:sz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18" w:rsidRDefault="003F2C18">
    <w:pPr>
      <w:spacing w:after="0"/>
      <w:ind w:right="-9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</w:rPr>
      <w:t>2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</w:t>
    </w:r>
  </w:p>
  <w:p w:rsidR="003F2C18" w:rsidRDefault="003F2C18">
    <w:pPr>
      <w:spacing w:after="0"/>
      <w:ind w:left="-1241"/>
    </w:pPr>
    <w:r>
      <w:rPr>
        <w:rFonts w:ascii="Verdana" w:eastAsia="Verdana" w:hAnsi="Verdana" w:cs="Verdana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F5" w:rsidRDefault="004B4CF5">
      <w:pPr>
        <w:spacing w:after="0" w:line="240" w:lineRule="auto"/>
      </w:pPr>
      <w:r>
        <w:separator/>
      </w:r>
    </w:p>
  </w:footnote>
  <w:footnote w:type="continuationSeparator" w:id="0">
    <w:p w:rsidR="004B4CF5" w:rsidRDefault="004B4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728"/>
    <w:multiLevelType w:val="hybridMultilevel"/>
    <w:tmpl w:val="64B639FC"/>
    <w:lvl w:ilvl="0" w:tplc="C75EF99A">
      <w:start w:val="1"/>
      <w:numFmt w:val="bullet"/>
      <w:lvlText w:val="-"/>
      <w:lvlJc w:val="left"/>
      <w:pPr>
        <w:ind w:left="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8B51A">
      <w:start w:val="1"/>
      <w:numFmt w:val="bullet"/>
      <w:lvlText w:val="o"/>
      <w:lvlJc w:val="left"/>
      <w:pPr>
        <w:ind w:left="1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01942">
      <w:start w:val="1"/>
      <w:numFmt w:val="bullet"/>
      <w:lvlText w:val="▪"/>
      <w:lvlJc w:val="left"/>
      <w:pPr>
        <w:ind w:left="2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250B0">
      <w:start w:val="1"/>
      <w:numFmt w:val="bullet"/>
      <w:lvlText w:val="•"/>
      <w:lvlJc w:val="left"/>
      <w:pPr>
        <w:ind w:left="2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E46B22">
      <w:start w:val="1"/>
      <w:numFmt w:val="bullet"/>
      <w:lvlText w:val="o"/>
      <w:lvlJc w:val="left"/>
      <w:pPr>
        <w:ind w:left="3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646000">
      <w:start w:val="1"/>
      <w:numFmt w:val="bullet"/>
      <w:lvlText w:val="▪"/>
      <w:lvlJc w:val="left"/>
      <w:pPr>
        <w:ind w:left="43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CC4708">
      <w:start w:val="1"/>
      <w:numFmt w:val="bullet"/>
      <w:lvlText w:val="•"/>
      <w:lvlJc w:val="left"/>
      <w:pPr>
        <w:ind w:left="51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780336">
      <w:start w:val="1"/>
      <w:numFmt w:val="bullet"/>
      <w:lvlText w:val="o"/>
      <w:lvlJc w:val="left"/>
      <w:pPr>
        <w:ind w:left="58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64EE4">
      <w:start w:val="1"/>
      <w:numFmt w:val="bullet"/>
      <w:lvlText w:val="▪"/>
      <w:lvlJc w:val="left"/>
      <w:pPr>
        <w:ind w:left="6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A3866"/>
    <w:multiLevelType w:val="hybridMultilevel"/>
    <w:tmpl w:val="B8E49D38"/>
    <w:lvl w:ilvl="0" w:tplc="1D8A9E48">
      <w:start w:val="1"/>
      <w:numFmt w:val="bullet"/>
      <w:lvlText w:val="-"/>
      <w:lvlJc w:val="left"/>
      <w:pPr>
        <w:ind w:left="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69676">
      <w:start w:val="1"/>
      <w:numFmt w:val="bullet"/>
      <w:lvlText w:val="o"/>
      <w:lvlJc w:val="left"/>
      <w:pPr>
        <w:ind w:left="15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44D9E">
      <w:start w:val="1"/>
      <w:numFmt w:val="bullet"/>
      <w:lvlText w:val="▪"/>
      <w:lvlJc w:val="left"/>
      <w:pPr>
        <w:ind w:left="22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A8869A">
      <w:start w:val="1"/>
      <w:numFmt w:val="bullet"/>
      <w:lvlText w:val="•"/>
      <w:lvlJc w:val="left"/>
      <w:pPr>
        <w:ind w:left="30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F83EC8">
      <w:start w:val="1"/>
      <w:numFmt w:val="bullet"/>
      <w:lvlText w:val="o"/>
      <w:lvlJc w:val="left"/>
      <w:pPr>
        <w:ind w:left="37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866F5A">
      <w:start w:val="1"/>
      <w:numFmt w:val="bullet"/>
      <w:lvlText w:val="▪"/>
      <w:lvlJc w:val="left"/>
      <w:pPr>
        <w:ind w:left="44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0698E">
      <w:start w:val="1"/>
      <w:numFmt w:val="bullet"/>
      <w:lvlText w:val="•"/>
      <w:lvlJc w:val="left"/>
      <w:pPr>
        <w:ind w:left="51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8C43E">
      <w:start w:val="1"/>
      <w:numFmt w:val="bullet"/>
      <w:lvlText w:val="o"/>
      <w:lvlJc w:val="left"/>
      <w:pPr>
        <w:ind w:left="58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880F0">
      <w:start w:val="1"/>
      <w:numFmt w:val="bullet"/>
      <w:lvlText w:val="▪"/>
      <w:lvlJc w:val="left"/>
      <w:pPr>
        <w:ind w:left="66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579EB"/>
    <w:multiLevelType w:val="hybridMultilevel"/>
    <w:tmpl w:val="1C06554C"/>
    <w:lvl w:ilvl="0" w:tplc="A96C2E5C">
      <w:start w:val="1"/>
      <w:numFmt w:val="bullet"/>
      <w:lvlText w:val="-"/>
      <w:lvlJc w:val="left"/>
      <w:pPr>
        <w:ind w:left="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65906">
      <w:start w:val="1"/>
      <w:numFmt w:val="bullet"/>
      <w:lvlText w:val="o"/>
      <w:lvlJc w:val="left"/>
      <w:pPr>
        <w:ind w:left="14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CBC66">
      <w:start w:val="1"/>
      <w:numFmt w:val="bullet"/>
      <w:lvlText w:val="▪"/>
      <w:lvlJc w:val="left"/>
      <w:pPr>
        <w:ind w:left="21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6E380">
      <w:start w:val="1"/>
      <w:numFmt w:val="bullet"/>
      <w:lvlText w:val="•"/>
      <w:lvlJc w:val="left"/>
      <w:pPr>
        <w:ind w:left="28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E10F4">
      <w:start w:val="1"/>
      <w:numFmt w:val="bullet"/>
      <w:lvlText w:val="o"/>
      <w:lvlJc w:val="left"/>
      <w:pPr>
        <w:ind w:left="36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C87A0">
      <w:start w:val="1"/>
      <w:numFmt w:val="bullet"/>
      <w:lvlText w:val="▪"/>
      <w:lvlJc w:val="left"/>
      <w:pPr>
        <w:ind w:left="43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60FCA">
      <w:start w:val="1"/>
      <w:numFmt w:val="bullet"/>
      <w:lvlText w:val="•"/>
      <w:lvlJc w:val="left"/>
      <w:pPr>
        <w:ind w:left="50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4A6254">
      <w:start w:val="1"/>
      <w:numFmt w:val="bullet"/>
      <w:lvlText w:val="o"/>
      <w:lvlJc w:val="left"/>
      <w:pPr>
        <w:ind w:left="57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46EE8">
      <w:start w:val="1"/>
      <w:numFmt w:val="bullet"/>
      <w:lvlText w:val="▪"/>
      <w:lvlJc w:val="left"/>
      <w:pPr>
        <w:ind w:left="64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003C9"/>
    <w:multiLevelType w:val="hybridMultilevel"/>
    <w:tmpl w:val="A4B42754"/>
    <w:lvl w:ilvl="0" w:tplc="0A12A3D8">
      <w:start w:val="1"/>
      <w:numFmt w:val="bullet"/>
      <w:lvlText w:val="-"/>
      <w:lvlJc w:val="left"/>
      <w:pPr>
        <w:ind w:left="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618C2">
      <w:start w:val="1"/>
      <w:numFmt w:val="bullet"/>
      <w:lvlText w:val="o"/>
      <w:lvlJc w:val="left"/>
      <w:pPr>
        <w:ind w:left="1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227082">
      <w:start w:val="1"/>
      <w:numFmt w:val="bullet"/>
      <w:lvlText w:val="▪"/>
      <w:lvlJc w:val="left"/>
      <w:pPr>
        <w:ind w:left="22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06A6C">
      <w:start w:val="1"/>
      <w:numFmt w:val="bullet"/>
      <w:lvlText w:val="•"/>
      <w:lvlJc w:val="left"/>
      <w:pPr>
        <w:ind w:left="29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216B0">
      <w:start w:val="1"/>
      <w:numFmt w:val="bullet"/>
      <w:lvlText w:val="o"/>
      <w:lvlJc w:val="left"/>
      <w:pPr>
        <w:ind w:left="37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AAACA">
      <w:start w:val="1"/>
      <w:numFmt w:val="bullet"/>
      <w:lvlText w:val="▪"/>
      <w:lvlJc w:val="left"/>
      <w:pPr>
        <w:ind w:left="4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909ED8">
      <w:start w:val="1"/>
      <w:numFmt w:val="bullet"/>
      <w:lvlText w:val="•"/>
      <w:lvlJc w:val="left"/>
      <w:pPr>
        <w:ind w:left="5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EF220">
      <w:start w:val="1"/>
      <w:numFmt w:val="bullet"/>
      <w:lvlText w:val="o"/>
      <w:lvlJc w:val="left"/>
      <w:pPr>
        <w:ind w:left="58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6353E">
      <w:start w:val="1"/>
      <w:numFmt w:val="bullet"/>
      <w:lvlText w:val="▪"/>
      <w:lvlJc w:val="left"/>
      <w:pPr>
        <w:ind w:left="65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83"/>
    <w:rsid w:val="00010004"/>
    <w:rsid w:val="000E6AF0"/>
    <w:rsid w:val="001040D3"/>
    <w:rsid w:val="0011002E"/>
    <w:rsid w:val="00142762"/>
    <w:rsid w:val="0014603A"/>
    <w:rsid w:val="001714CA"/>
    <w:rsid w:val="001A43FE"/>
    <w:rsid w:val="001C3031"/>
    <w:rsid w:val="0020398C"/>
    <w:rsid w:val="0023425D"/>
    <w:rsid w:val="00245E53"/>
    <w:rsid w:val="00262613"/>
    <w:rsid w:val="0026320E"/>
    <w:rsid w:val="00264C8D"/>
    <w:rsid w:val="002C11B1"/>
    <w:rsid w:val="002C3821"/>
    <w:rsid w:val="002E561A"/>
    <w:rsid w:val="00335B8D"/>
    <w:rsid w:val="003610D4"/>
    <w:rsid w:val="00382091"/>
    <w:rsid w:val="003A2C40"/>
    <w:rsid w:val="003B7C02"/>
    <w:rsid w:val="003D57F5"/>
    <w:rsid w:val="003E2740"/>
    <w:rsid w:val="003F2C18"/>
    <w:rsid w:val="00460F1B"/>
    <w:rsid w:val="00472C8B"/>
    <w:rsid w:val="00475EE0"/>
    <w:rsid w:val="00487BC8"/>
    <w:rsid w:val="004B445A"/>
    <w:rsid w:val="004B4CF5"/>
    <w:rsid w:val="004C467B"/>
    <w:rsid w:val="00504A51"/>
    <w:rsid w:val="00580DE4"/>
    <w:rsid w:val="005F2966"/>
    <w:rsid w:val="0060186D"/>
    <w:rsid w:val="0063199C"/>
    <w:rsid w:val="00631B25"/>
    <w:rsid w:val="00656639"/>
    <w:rsid w:val="0067189A"/>
    <w:rsid w:val="00673CE7"/>
    <w:rsid w:val="00684AC7"/>
    <w:rsid w:val="006B7201"/>
    <w:rsid w:val="006D3FEB"/>
    <w:rsid w:val="006E1254"/>
    <w:rsid w:val="007146D1"/>
    <w:rsid w:val="00721C2F"/>
    <w:rsid w:val="00777FAE"/>
    <w:rsid w:val="007A3381"/>
    <w:rsid w:val="007A405C"/>
    <w:rsid w:val="007B7BB6"/>
    <w:rsid w:val="007F4711"/>
    <w:rsid w:val="00826E33"/>
    <w:rsid w:val="0084249C"/>
    <w:rsid w:val="008455D6"/>
    <w:rsid w:val="00851858"/>
    <w:rsid w:val="00853EB7"/>
    <w:rsid w:val="008E13B2"/>
    <w:rsid w:val="00932F3C"/>
    <w:rsid w:val="00933AD9"/>
    <w:rsid w:val="00972FF7"/>
    <w:rsid w:val="009736BD"/>
    <w:rsid w:val="00975222"/>
    <w:rsid w:val="00992675"/>
    <w:rsid w:val="009930D6"/>
    <w:rsid w:val="009D4AB7"/>
    <w:rsid w:val="009F72F2"/>
    <w:rsid w:val="009F79BF"/>
    <w:rsid w:val="00A17F54"/>
    <w:rsid w:val="00A468EF"/>
    <w:rsid w:val="00A571D4"/>
    <w:rsid w:val="00AA52D1"/>
    <w:rsid w:val="00AA75F6"/>
    <w:rsid w:val="00AB36F7"/>
    <w:rsid w:val="00B34983"/>
    <w:rsid w:val="00B545F3"/>
    <w:rsid w:val="00BA5C11"/>
    <w:rsid w:val="00BB2471"/>
    <w:rsid w:val="00BB5CEB"/>
    <w:rsid w:val="00BC5F17"/>
    <w:rsid w:val="00C05163"/>
    <w:rsid w:val="00C45E05"/>
    <w:rsid w:val="00C54204"/>
    <w:rsid w:val="00C60393"/>
    <w:rsid w:val="00C77429"/>
    <w:rsid w:val="00CA70B8"/>
    <w:rsid w:val="00CB3FC1"/>
    <w:rsid w:val="00CE3B67"/>
    <w:rsid w:val="00D16A0C"/>
    <w:rsid w:val="00D51555"/>
    <w:rsid w:val="00D53AB9"/>
    <w:rsid w:val="00D7424A"/>
    <w:rsid w:val="00D755BD"/>
    <w:rsid w:val="00E42BD3"/>
    <w:rsid w:val="00EA6369"/>
    <w:rsid w:val="00F500D6"/>
    <w:rsid w:val="00FA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80C5"/>
  <w15:docId w15:val="{DA4E53C4-032B-42BD-A1C6-2094AB38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AE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5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bg/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mon.bg/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n.bg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18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cp:lastModifiedBy>vision</cp:lastModifiedBy>
  <cp:revision>76</cp:revision>
  <dcterms:created xsi:type="dcterms:W3CDTF">2023-02-15T13:02:00Z</dcterms:created>
  <dcterms:modified xsi:type="dcterms:W3CDTF">2024-09-26T06:12:00Z</dcterms:modified>
</cp:coreProperties>
</file>