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30" w:rsidRDefault="00A27630" w:rsidP="00A27630">
      <w:pPr>
        <w:jc w:val="center"/>
        <w:rPr>
          <w:b/>
          <w:lang w:val="be-BY"/>
        </w:rPr>
      </w:pPr>
      <w:r>
        <w:rPr>
          <w:b/>
          <w:lang w:val="be-BY"/>
        </w:rPr>
        <w:t>ОСНОВНО УЧИЛИЩЕ “ЛЮБЕН КАРАВЕЛОВ” СВИЛЕНГРАД</w:t>
      </w:r>
    </w:p>
    <w:p w:rsidR="00A27630" w:rsidRDefault="00A27630" w:rsidP="00A27630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be-BY"/>
        </w:rPr>
        <w:t xml:space="preserve">ул.”Хан Аспарух” №50, тел.0379/73154, </w:t>
      </w:r>
      <w:r>
        <w:rPr>
          <w:b/>
          <w:sz w:val="20"/>
          <w:szCs w:val="20"/>
          <w:lang w:val="en-US"/>
        </w:rPr>
        <w:t>e-mail: info-2605003@edu.mon.bg</w:t>
      </w:r>
    </w:p>
    <w:p w:rsidR="006741AD" w:rsidRPr="00417A7A" w:rsidRDefault="006741AD" w:rsidP="006741AD">
      <w:pPr>
        <w:pStyle w:val="BodyText"/>
        <w:rPr>
          <w:i/>
          <w:szCs w:val="24"/>
        </w:rPr>
      </w:pPr>
      <w:bookmarkStart w:id="0" w:name="_GoBack"/>
      <w:bookmarkEnd w:id="0"/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:rsidR="006741AD" w:rsidRPr="009E5BA0" w:rsidRDefault="009E5BA0" w:rsidP="009E5BA0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E5BA0">
        <w:rPr>
          <w:b/>
          <w:color w:val="111111"/>
        </w:rPr>
        <w:t>Утвърждавам:</w:t>
      </w:r>
      <w:r w:rsidR="006741AD" w:rsidRPr="009E5BA0">
        <w:rPr>
          <w:b/>
          <w:color w:val="111111"/>
        </w:rPr>
        <w:t> </w:t>
      </w:r>
    </w:p>
    <w:p w:rsidR="009E5BA0" w:rsidRPr="009E5BA0" w:rsidRDefault="009E5BA0" w:rsidP="009E5BA0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E5BA0">
        <w:rPr>
          <w:b/>
          <w:color w:val="111111"/>
        </w:rPr>
        <w:t>Директор:……………………</w:t>
      </w:r>
    </w:p>
    <w:p w:rsidR="009E5BA0" w:rsidRPr="009E5BA0" w:rsidRDefault="009E5BA0" w:rsidP="009E5BA0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E5BA0">
        <w:rPr>
          <w:b/>
          <w:color w:val="111111"/>
        </w:rPr>
        <w:t>Стефан Каймаков</w:t>
      </w: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:rsidR="006741AD" w:rsidRPr="00411ECF" w:rsidRDefault="00BE2CB5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  <w:r>
        <w:rPr>
          <w:rStyle w:val="Strong"/>
          <w:color w:val="111111"/>
          <w:sz w:val="21"/>
          <w:szCs w:val="21"/>
        </w:rPr>
        <w:t>СТРАТЕГИЯ</w:t>
      </w:r>
      <w:r w:rsidR="006741AD" w:rsidRPr="00080175">
        <w:rPr>
          <w:rStyle w:val="Strong"/>
          <w:color w:val="111111"/>
          <w:sz w:val="21"/>
          <w:szCs w:val="21"/>
        </w:rPr>
        <w:t xml:space="preserve"> ЗА ПОВИШАВАНЕ КАЧЕСТВОТО НА ОБРАЗОВАНИЕТО</w:t>
      </w:r>
      <w:r w:rsidR="00743DC2">
        <w:rPr>
          <w:rStyle w:val="Strong"/>
          <w:color w:val="111111"/>
          <w:sz w:val="21"/>
          <w:szCs w:val="21"/>
        </w:rPr>
        <w:t xml:space="preserve"> ПО БЕЛ</w:t>
      </w:r>
      <w:r w:rsidR="00411ECF">
        <w:rPr>
          <w:rStyle w:val="Strong"/>
          <w:color w:val="111111"/>
          <w:sz w:val="21"/>
          <w:szCs w:val="21"/>
        </w:rPr>
        <w:t>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            УВОД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образованието.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Мерките са съобразени с принципите и изискванията към институциите за усъвършенстване на процесите за управление на качеството. Също така важно място заемат показателите, условията и редът за измерване на постигнатото качество.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Качеството на образованието се осигурява чрез управление на процеса на развитие на институцията (училището), основанo на анализиране, планиране,изпълнение на дейностите, оценяване и внасяне на подобрения.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Качеството на образованието в институциите се осигурява при спазване на следните принципи: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    ефективно разпределяне, използване и управление на ресурсите;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    автономия и самоуправление;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    ангажираност, сътрудничество и социален диалог между всички участници в процеса на образованието и обучението;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4.      удовлетвореност на участниците в процеса на обучението и на другите заинтересовани лица;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5.      приемственост на политиките и постиженията, прилагане на добри педагогически практики;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6.      непрекъснатост, прозрачност и демократичност в процеса за повишаване на качеството в институцията;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7.      ориентираност на образованието и обучението към изискванията и потребностите на пазара на труда;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8.      целенасоченост към постигане на високи резултати в процеса на обучение и образование;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9.      лидерство и разпределяне на отговорности за постигане на целите на институцията.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осъществява на национално, регионално и институционално равнище.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Измерването на постигнатото качество в институциите се осъществява ежегодно чрез самооценяване.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518"/>
        <w:jc w:val="both"/>
        <w:rPr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РАЗРАБОТВАНЕ НА ВЪТРЕШНА СИСТЕМА ЗА ОСИГУРЯВАНЕ НА КАЧЕСТВОТО НА ОБРАЗОВАНИЕТО И ОБУЧЕНИЕТО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Вътрешната система за осигуряване на качеството е съвкупност от взаимносвързани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 за придоби</w:t>
      </w:r>
      <w:r w:rsidR="00405715">
        <w:rPr>
          <w:color w:val="111111"/>
          <w:sz w:val="21"/>
          <w:szCs w:val="21"/>
        </w:rPr>
        <w:t xml:space="preserve">ване на квалификация </w:t>
      </w:r>
      <w:r w:rsidRPr="00080175">
        <w:rPr>
          <w:color w:val="111111"/>
          <w:sz w:val="21"/>
          <w:szCs w:val="21"/>
        </w:rPr>
        <w:t xml:space="preserve"> и на действащото законодателство.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06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Вътрешната система за осигуряване на качеството включва: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35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политиката и целите по осигуряване на качеството;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35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органите за управление на качеството и правомощията им;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35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правилата за нейното прилагане;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35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4.  годишен план-график за провеждане на дейностите по самооценяване;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35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5.  условията и реда за измерване на постигнатото качество чрез самооценяване.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lastRenderedPageBreak/>
        <w:t>Политиката и целите по осигуряване на качеството се разработват от директора, съответно от ръководителя на институцията в съответствие със стратегията за развитие на институцията.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686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Органи за управлението на качеството са: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63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-       директорът, съответно ръководителят на институцията;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63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-       педагогическият съвет – за училищата.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         За функционирането на вътрешната система за осигуряване на качеството в институцията се определят комисияили комисии за: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   разработване на правила за прилагане на вътрешната система за осигуряване на качеството и актуализирането им;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9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   разработване на годишен план-график за провеждане на дейностите по самооценяване;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   разработване на конкретни процедури по критерии и съответния инструментариум към тях за провеждане на дейностите по самооценяването;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9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4.     провеждане на самооценяването;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9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5.     изготвяне на доклад от самооценяването до директора.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          Броят на членовете, съставът и срокът за изпълнение на работата на комисията или комисиите се определят от директора, съответно от ръководителя на институцията в зависимост от вида и обема на възложените задачи.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          В състава на комисията или комисиите може да се включват и външни специалисти.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355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    Комисията или комисиите се определят в срок до 5 септември, преди началото на всяка учебна годиназа училищата.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696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Директорът, съответно ръководителят на институцията: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    Организира, контролира и отговаря за цялостната дейност по функционирането на</w:t>
      </w:r>
      <w:r w:rsidRPr="00080175">
        <w:rPr>
          <w:color w:val="111111"/>
          <w:sz w:val="21"/>
          <w:szCs w:val="21"/>
        </w:rPr>
        <w:br/>
        <w:t>вътрешната система за управление на качеството;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    Разработва политиката и целите по осигуряване на качеството;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    Определя отговорника по качеството;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4.      Определя състава на комисията или комисиите;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5.   Утвърждава годишен план-график за провеждане на дейностите по самооценяването след приемането му от съответния орган и коригиращите мерки в хода на изпълнението му;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6.    Утвърждава процедурите по критериите и инструментариума към тях за провеждане на дейностите по самооценяването;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7.    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8.    Провежда мониторинг на дейностите по осигуряване на качеството в институцията;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9.    Представя годишния доклад за резултатите от проведеното самооценяване на регионалното управление по образованието – за училището или на Националната агенция за професионално образование и обучение – за центъра за професионално обучение;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10.Организира обучение на персонала за осигуряване на качеството в институцията.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Педагогическият съвет приема: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    мерките за повишаванена качеството на образованието;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    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    годишния план-график за провеждане на дейностите по самооценяване;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4.      годишния доклад за резултатите от проведеното самооценяване.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Директорът на училището отговаря за функционирането на вътрешната система за осигуряване на качеството, като със заповеди: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    организира изпълнението на следните дейности: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анализ на резултатите от изпълнението на целите на институцията;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анализ на силните и слабите страни, на възможностите и рисковете за развитието на институцията;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посочване на индивидуалния напредък на всеки ученик по отношение на неговите образователни резултати;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посочване на специфичните за институцията ключови фактори, които влияят на качеството на предоставяното образование;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планиране на ежегодните дейности за постигане на целите от стратегията за развитие на институцията;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изпълнение на планираните дейности от плана за действие към стратегията за развитие на институцията и реализиране на заложените в нея цели;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lastRenderedPageBreak/>
        <w:t>2.      определя комисията, която извършва самооценяването – нейния състав, задачите и сроковете за изпълнение;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    определя начина на участие на лицата, включени в процеса на самооценяване: ученици, учители, директор и родители;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4.      утвърждава определените на подготвителния етап дейности, процедури, критерии, показатели и инструментите за самооценяване;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5.       утвърждава преди края на учебната година доклада от самооценяването, който съдържа: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информация за вътрешната и външната среда, в която функционира институцията през периода на самооценяването;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данни за използваните инструменти при самооценяването;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данни за резултатите от самооценяването, сравнени с резултатите от предходното самооценяване;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анализ на резултатите от самооценяването;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14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предложения за мерки за внасяне на подобрения в работата на институцията с цел повишаване на качеството на предоставяното образование, както и за срокове за тяхното изпълнение.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          Докладът от самооценяването е част от ежегодния отчет за изпълнението на плана за действие към стратегията за развитието на училището.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    Правилата за прилагането на вътрешната система за осигуряване на качеството се разработват от комисията и се приемат от органа като част от правилника за дейността на обучаващата институция. Те включват: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    правомощията на участниците във вътрешната система за осигуряване на качеството;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    реда за организиране и провеждане на самооценяването;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    реда и начина за съхранение на доказателствените материали за проведеното самооценяване;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4.      взаимодействието на институцията със социалните партньори и другите заинтересовани страни за осигуряване на качеството;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5.      начина за информиране на обществеността за получените резултати от проведеното самооценяване в обучаващата институция.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Годишният план-график съдържа дейностите по самооценяването, групирани по критериите за качество, като задължително се посочват видът на инструментариума към тях и сроковете и отговорните лица за изпълнението им.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План-графикътсе утвърждава от директора на училището, съответно от ръководителя на институцията в началото на всяка учебна година.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При необходимост се предлагат на директора, съответно на ръководителя на институцията коригиращи мерки за изпълнение на годишния план-график. След утвърждаване на мерките се организира и координира изпълнението им.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УСЛОВИЯ И РЕД ЗА ИЗМЕРВАНЕ НА ПОСТИГНАТОТО КАЧЕСТВО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Измерването на постигнатото качество на образованието и обучението се осъществява от институциите чрез прилагането на процедури по критерии и съответния инструментариум към тях за провеждане на дейностите по самооценяването.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Периодът за самооценяване за училищата е една учебна година.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1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Самооценяването се извършва от една комисия или от няколко комисии.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1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Самооценяването в училищата се извършва по предварително определени критерии и показатели към тях.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01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Критериите може да се групират по следните области на оценяване: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управление на институцията – ефективно разпределяне, използване и управление на ресурсите за повишаване на качеството на образование;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образователен процес – обучение, възпитание и социализация;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взаимодействие на всички заинтересовани страни.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Показателите към всеки критерий са количествени и/или качествени и определят равнището на качеството по съответния критерий.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Критериите се оценяват с точки, като максималният общ брой точки по всички критерии е 100.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lastRenderedPageBreak/>
        <w:t>Максималният брой точки за всеки критерий се разпределя по показатели в четири равнища на оценяване.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Крайната оценка на постигнатото качество може да e със следните количествени и качествени равнища: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отлично – при крайна оценка от 91 до 100 точки;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добро – при крайна оценка от 66 до 90 точки;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задоволително – при крайна оценка от 46 до 65 точки;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4.  незадоволително – при крайна оценка до 45 точки включително.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Самооценяването се провежда по процедури, утвърдени от директора, съответно от ръководителя на институцията.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За проведеното самооценяване комисията по качеството изготвя годишен доклад, който включва: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Към доклада може да се прилагат графики, таблици, статистическа информация идруги информационни материали.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Докладът от самооценяването се утвърждава от директора преди края на учебната година.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МИНИМАЛНИ РАМКОВИ ИЗИСКВАНИЯ ЗА УПРАВЛЕНИЕ НАКАЧЕСТВОТО В ИНСТИТУЦИИТЕ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Усъвършенстването на процесите за управление на качеството се постига при спазване на следните изисквания от институцията: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 Да подобрява работната среда чрез: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а)   прилагане на механизми за адаптиране на обучаваните към средата на институцията;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б)   осигуряване на достъпна архитектурна среда;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в)   модернизиране на материално-техническата база и обновяване на информационната инфраструктура;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г)   развитие на организационната култура в институцията.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Да осигурява развитие на персонала чрез: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а)   подобряване на възможностите за допълнителна и продължаваща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б)  изграждане на култура за осигуряване на качеството;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в)  създаване и поддържане на открита и ясна комуникация в институцията;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г)   повишаване на ефективността на административното обслужване;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д)  повишаване на мотивацията и инициативността на всички участници в процеса на образование и обучение.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Да подобрява резултатите от обучението чрез: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а)   повишаване на мотивацията на обучаемите;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б)   повишаване на дела на учениците, които работят активно за подобряване на своите образователни резултати;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7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в)   намаляване на дела на раноотпадналите от обучението;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7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г)   повишаване на дела наобучените, провели практическо обучение в реална работнасреда;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7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д)   създаване на механизъм за ранно предупреждение за различни рискове.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lastRenderedPageBreak/>
        <w:t>4. Да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7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а)   разширяване на възможностите за практическо обучение в реална работна среда;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7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б)   проучване и прилагане на добри практики на сродни институции;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в)   подобряване на възможностите за достъп до информация на участниците в образованието и обучението;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г)   информиране на общността и заинтересованите страни за добрите практики ипостиженията на институцията в областта на осигуряване на качеството на образованието и обучението;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д)   участие в проекти, свързани с повишаване на качеството на образованието и обучението.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4421"/>
        <w:jc w:val="both"/>
        <w:rPr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 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МЕТОДИЧЕСКО ПОДПОМАГАНЕ И МОНИТОРИНГ ЗА ПОВИШАВАНЕ НА КАЧЕСТВОТО НА ОБРАЗОВАНИЕТО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(1) За осигуряване на качеството в институциите се осъществяват методическо подпомагане и мониторинг.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(2) Методическото подпомагане за разработване и функциониране на вътрешна системаза осигуряване на качеството включва: консултиране, информиране, инструктиране ипредставяне на добри педагогически практики.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(3)   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напроцеса за осигуряване на качеството в съответната институция.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(4)  Вътрешният мониторинг се осъществява от директора, съответно от ръководителя на институцията.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(5)  Методическото подпомагане и външният мониторинг се осъществяват за училищата – от Министерството на образованието и науката и от регионалнитеуправления по образованието, а за центровете за професионално обучение – от Националната агенция за професионално образование и обучение.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 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ФИНАНСИРАНЕ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Дейностите за изграждане и функциониране на вътрешна система за осигуряване на качеството на образованието и обучението се финансират, както следва: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     държавните и общинските училища – със средства от субсидия по формула и от собствени приходи;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     центровете за професионално обучение и частните училища – със средства от собствени приходи.</w:t>
      </w:r>
    </w:p>
    <w:p w:rsidR="006741AD" w:rsidRPr="00080175" w:rsidRDefault="006741AD" w:rsidP="00FD2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080175">
        <w:rPr>
          <w:color w:val="111111"/>
          <w:sz w:val="21"/>
          <w:szCs w:val="21"/>
        </w:rPr>
        <w:t> Институциите могат да ползват и други източници на финансиране – спонсорство, национални и международни програми и проекти и др.</w:t>
      </w: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Default="00080175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  <w:lang w:val="en-US"/>
        </w:rPr>
      </w:pPr>
    </w:p>
    <w:p w:rsidR="00080175" w:rsidRPr="00080175" w:rsidRDefault="006741AD" w:rsidP="00080175">
      <w:pPr>
        <w:pStyle w:val="NormalWeb"/>
        <w:shd w:val="clear" w:color="auto" w:fill="FFFFFF"/>
        <w:spacing w:before="0" w:beforeAutospacing="0" w:after="0" w:afterAutospacing="0"/>
        <w:ind w:left="2160"/>
        <w:jc w:val="right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  <w:r w:rsidR="00080175" w:rsidRPr="00080175">
        <w:rPr>
          <w:rStyle w:val="Strong"/>
          <w:color w:val="111111"/>
          <w:sz w:val="21"/>
          <w:szCs w:val="21"/>
        </w:rPr>
        <w:t>Приложение № 1</w:t>
      </w:r>
    </w:p>
    <w:p w:rsidR="00080175" w:rsidRPr="00080175" w:rsidRDefault="00080175" w:rsidP="0008017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 </w:t>
      </w:r>
    </w:p>
    <w:p w:rsidR="00080175" w:rsidRPr="00080175" w:rsidRDefault="00080175" w:rsidP="00080175">
      <w:pPr>
        <w:numPr>
          <w:ilvl w:val="0"/>
          <w:numId w:val="2"/>
        </w:numPr>
        <w:shd w:val="clear" w:color="auto" w:fill="FFFFFF"/>
        <w:ind w:left="0"/>
        <w:jc w:val="both"/>
        <w:rPr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Критерии по области на оценяване и показатели за измерване на постигнатото качество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50"/>
        <w:gridCol w:w="1012"/>
        <w:gridCol w:w="1413"/>
        <w:gridCol w:w="1384"/>
        <w:gridCol w:w="1384"/>
        <w:gridCol w:w="1384"/>
        <w:gridCol w:w="80"/>
        <w:gridCol w:w="1241"/>
        <w:gridCol w:w="4"/>
        <w:gridCol w:w="4"/>
        <w:gridCol w:w="4"/>
        <w:gridCol w:w="4"/>
        <w:gridCol w:w="4"/>
        <w:gridCol w:w="4"/>
      </w:tblGrid>
      <w:tr w:rsidR="00080175" w:rsidRPr="00080175" w:rsidTr="006B54C4">
        <w:trPr>
          <w:gridAfter w:val="7"/>
          <w:wAfter w:w="1318" w:type="dxa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№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по ред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Наименование на критериите по области на оценяване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Макс.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бр. точки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Показатели за измерване на равнището на постигнатото качество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</w:tr>
      <w:tr w:rsidR="00080175" w:rsidRPr="00080175" w:rsidTr="006B54C4">
        <w:trPr>
          <w:gridAfter w:val="7"/>
          <w:wAfter w:w="1318" w:type="dxa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Област: Достъп до образование и обучение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</w:tr>
      <w:tr w:rsidR="00080175" w:rsidRPr="00080175" w:rsidTr="006B54C4">
        <w:trPr>
          <w:gridAfter w:val="6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1.1.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Публичност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 популяризиране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 предлаганото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образование и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съдържанието му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Липсват начини и средства за разпространяване на информация, свързана с дейността на училището, в т.ч. училищен сайт.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Изготвят се и се издават информационни, рекламни и други видове табла в сградата на училището, има статичен училищен сайт.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Изготвят се и се издават информационни, рекламни и други видове табла, училищен вестник, рекламни материали и електронни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информационни средства в сградата на училището, поддържа се динамичен училищен сайт.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Използват се многообразни начини и средства за публичност и популяризиране на предлаганото образование и съдържанието му – издаване на училищен вестник; училищно радио и/или телевизия; електронни информационни средства; брошури, рекламни материали и др.; поддържа се динамичен училищен сайт за учебната година с архивиране на предходните и опции за обучение и оценяване онлайн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3,0 т.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1.2.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Осигурена достъпна архитектурна среда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Не е осигурена.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Обособени рампи към входовете; адаптирано санитарно помещение за специални потребности на ползващите ги.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Обособени рампи към входовете; адаптирано санитарно помещение за специални потребности на ползващите ги; ресурсен кабинет.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2,5т.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Обособени рампи към входовете; адаптирано санитарно помещение за специални потребности на ползващите ги; асансьори; ресурсен кабинет.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3,0 т.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1.3.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Наличие на модерна материално-техническа база за обучение (кабинети, учебни работилници, лаборатории и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др.) в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съответствие с изискванията на ДОС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Има кабинети и учебни работилници/лаборатории, но не по всички изучавани професии/ специалности; наличните са оборудвани с морално и физически остаряла, често повреждаща се техника.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Има кабинети и учебни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работилници/лаборатории по всички изучавани професии/специалности, оборудвани с морално и физически остаряла, често повреждаща се техника.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Има кабинети и учебни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работилници/лаборатории по всички изучавани професии/специалности, оборудвани с работеща и използваща се в голяма част от реалния бизнес техника.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3,5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Има кабинети и учебни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работилници/лаборатории и по всички изучавани професии/специалности, оборудвани с работеща и използваща се в голяма част от реалния бизнес техника; поне една от учебните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 xml:space="preserve">работилници/лаборатории е оборудвана със съвременна работеща техника, </w:t>
            </w:r>
            <w:r w:rsidRPr="00080175">
              <w:rPr>
                <w:sz w:val="16"/>
                <w:szCs w:val="16"/>
              </w:rPr>
              <w:lastRenderedPageBreak/>
              <w:t>използвана от фирмите в бранша.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5,0 т.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Предлагане на обучение по професии и специалности с приоритетно значение на регионалния пазар на труда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Няма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професии/специалности, изучавани в училището, които са с приоритетно значение на регионалния пазар на труда.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Една от изучаваните в училището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професии/специалности е с приоритетно значение на регионалния пазар на труда.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Две от изучаваните в училището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професии/специалности са с приоритетно значение на регионалния пазар на труда.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Изучаваните в училището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професии/специалности (три и повече) са с приоритетно значение на регионалния пазар на труда. 3,0 т.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1.5.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Равнище на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административно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обслужване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Административното обслужване не е ефективно, налице са сигнали, не се използват възможностите на ИКТ; служителите, които го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осъществяват, не са компетентни, често са груби и неучтиви.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Административното обслужване е достъпно, на добро равнище, но без използване на ИКТ; служителите, които го осъществяват, са компетентни, но невинаги са вежливи и коректни.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0,75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Административното обслужване позволява бърз и надежден достъп до информация, предлага полезни и лесни за използване инструменти; частично се използват и различни форми на ИКТ; служителите са компетентни, вежливи и коректни.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Административното обслужване позволява бърз и надежден достъп до информация, предлага полезни и лесни за използване инструменти; използват се и различни форми на ИКТ; служителите са компетентни, вежливи, коректни, любезни и приветливи.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1.6.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Осигуряване на възможност за образование и обучение в различни форми на обучение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Училището осигурява възможност за образование и обучение само в една форма на обучение.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Училището осигурява възможност за образование и обучение в две форми на обучение.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Училището осигурява възможност за образование и обучение в три форми на обучение.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0,75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Училището осигурява възможност за образование и обучение в повече от три форми на обучение.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 т.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1.7.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Относителен дял на учениците от уязвими групи спрямо общия брой обучавани – 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Относителен дял на учениците от уязвими групи спрямо общия брой обучавани –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до 2%.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Относителен дял на учениците от уязвими групи спрямо общия брой обучавани – от 2% до 5%.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Относителен дял на учениците от уязвими групи спрямо общия брой обучавани – от 5% до 10%.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Относителен брой на учениците от уязвими групи спрямо общия брой обучавани – над 10%.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1.8.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Предоставяне на възможност за професионално обучение и придобиване на професионални знания, умения и компетентности от учениците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Не се предоставя възможност за професионално обучение и придобиване на професионални знания, умения и компетентности от учениците.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Предоставя се възможност за професионално обучение и придобиване на професионални знания, умения и компетентности от учениците по една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професия/специалност.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Предоставя се възможност за професионално обучение и придобиване на професионални знания, умения и компетентности от ученицитеподве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професии/специалности.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0,75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Предоставя се възможност за професионално обучение и придобиване на професионални знания, умения и компетентности от учениците по три и повече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професии/специалности.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 т.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Област: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Придобиване на професионална квалификация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2.1.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Функционир</w:t>
            </w:r>
            <w:r w:rsidRPr="00080175">
              <w:rPr>
                <w:sz w:val="16"/>
                <w:szCs w:val="16"/>
              </w:rPr>
              <w:lastRenderedPageBreak/>
              <w:t>аща вътрешна система за повишаване на качеството на образованието и обучението в училището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>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 xml:space="preserve">Няма разработена </w:t>
            </w:r>
            <w:r w:rsidRPr="00080175">
              <w:rPr>
                <w:sz w:val="16"/>
                <w:szCs w:val="16"/>
              </w:rPr>
              <w:lastRenderedPageBreak/>
              <w:t>вътрешна система.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 xml:space="preserve">Разработена е </w:t>
            </w:r>
            <w:r w:rsidRPr="00080175">
              <w:rPr>
                <w:sz w:val="16"/>
                <w:szCs w:val="16"/>
              </w:rPr>
              <w:lastRenderedPageBreak/>
              <w:t>вътрешна система за повишаване на качеството на образованието и обучението в училището и тя функционира епизодично.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0,75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 xml:space="preserve">Разработена е </w:t>
            </w:r>
            <w:r w:rsidRPr="00080175">
              <w:rPr>
                <w:sz w:val="16"/>
                <w:szCs w:val="16"/>
              </w:rPr>
              <w:lastRenderedPageBreak/>
              <w:t>вътрешна система за повишаванена качеството, тя функционира и се отчитат резултати.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1,5 т.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 xml:space="preserve">Разработена е </w:t>
            </w:r>
            <w:r w:rsidRPr="00080175">
              <w:rPr>
                <w:sz w:val="16"/>
                <w:szCs w:val="16"/>
              </w:rPr>
              <w:lastRenderedPageBreak/>
              <w:t>вътрешна система за осигуряване на качеството и тя функционира ефективно –отчитат се резултати, на основание на които се правят анализи и изводи и се формулират предложения до ръководството на училището за повишаване на качеството.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2.2.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Създаден механизъм за ранно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предупреждение за различни рискове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Няма създаден.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Има създаден механизъм, но той не функционира координирано.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Има създаден механизъм, функционира координирано, но епизодично.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0,75 т.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Има създаден механизъм, функционира координирано, перманентно и ефективно.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2.3.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Създаден механизъм за вътрешен мониторинг и контрол на качеството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Няма създаден.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Има създаден механизъм за мониторинг и контрол, чиито дейности обхващат до 50% от показателите за измерване на постигнатото качество.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Има създаден механизъм за мониторинг и контрол, чиито дейности обхващат до 80% от показателите за измерване на постигнатото качество.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0,75 т.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Има създаден механизъм за мониторинг и контрол, чиито дейности обхващат над 80% от показателите за измерване на постигнатото качество.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2.4.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Проведено измерване на постигнатото качество чрез самооценяване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Не е проведено самооценяване.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Проведено е самооценяване, но не е изготвен доклад.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Проведено е самооценяване, изготвен е доклад, но не са формулирани коригиращи мерки.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Проведено е самооценяване, изготвен е доклад и са формулирани коригиращи мерки.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3,0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2.5.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Относителен дял на информираните и консултираните за кариерно развитие от общия брой обучавани – %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3,0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Няма информирани и консултирани обучавани за кариерно развитие.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Информираните и консултираните за кариерно развитие обучавани не надвишават30%.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 т.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31% до 60%.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Над 60%.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3,0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2.6.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Осигуреност на педагогическия персонал с квалификация, съответстваща на изискванията към обучаващите, определени в ДОС за придобиване на квалификация по професия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Недостатъчна осигуреност на педагогическия персонал – до 50%.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Минимална осигуреност на педагогическия персонал – от 51 до 75%.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0,5 т.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Средна осигуреност на педагогическия персонал – от 76 до 99%.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 т.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Максимална осигуреност на педагогическия персонал –100%.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2.7.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 xml:space="preserve">Осигурени </w:t>
            </w:r>
            <w:r w:rsidRPr="00080175">
              <w:rPr>
                <w:sz w:val="16"/>
                <w:szCs w:val="16"/>
              </w:rPr>
              <w:lastRenderedPageBreak/>
              <w:t>условия за интерактивно обучение и учене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>2,0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 xml:space="preserve">Няма осигурени </w:t>
            </w:r>
            <w:r w:rsidRPr="00080175">
              <w:rPr>
                <w:sz w:val="16"/>
                <w:szCs w:val="16"/>
              </w:rPr>
              <w:lastRenderedPageBreak/>
              <w:t>условия.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 xml:space="preserve">Осигурени са </w:t>
            </w:r>
            <w:r w:rsidRPr="00080175">
              <w:rPr>
                <w:sz w:val="16"/>
                <w:szCs w:val="16"/>
              </w:rPr>
              <w:lastRenderedPageBreak/>
              <w:t>условия за ползване на мултимедия в процеса на обучение. Прилагат се интерактивни методи, като: ситуационни (симулация, ролеви игри, казуси и др.); опитни (проекти, експерименти); дискусионни (дебати, беседи, дискусии).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 т.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 xml:space="preserve">Осигурени са </w:t>
            </w:r>
            <w:r w:rsidRPr="00080175">
              <w:rPr>
                <w:sz w:val="16"/>
                <w:szCs w:val="16"/>
              </w:rPr>
              <w:lastRenderedPageBreak/>
              <w:t>условия за ползване на мултимедия в над 40% от всички кабинети. Прилагат се интерактивни методи, като: ситуационни (симулация, ролеви игри, казуси и др.); опитни (проекти, експерименти); дискусионни (дебати, беседи, дискусии). Докладвани са и са обсъдени на заседание на Педагогическия съвет, на методическо обединение.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1,5 т.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 xml:space="preserve">Осигурени са </w:t>
            </w:r>
            <w:r w:rsidRPr="00080175">
              <w:rPr>
                <w:sz w:val="16"/>
                <w:szCs w:val="16"/>
              </w:rPr>
              <w:lastRenderedPageBreak/>
              <w:t>условия за ползване на мултимедия и интернет в над 60% от всички кабинети; осигурени са интерактивни дъски. Осигурен е подходящ софтуер за професионално обучение. Прилагат се интерактивни методи, като: ситуационни(симулация, ролеви игри, казуси и др.); опитни (проекти, експерименти); дискусионни (дебати, беседи, дискусии). Докладвани са и са обсъдени на заседание на Педагогическия съвет, на методическо обединение.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2.8.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Относителен дял на учителите,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Няма учители, участвали в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До 20%.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21% до 60%.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Над 60%.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участвали в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допълнително 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различни форми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продължаващо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 допълнително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обучение.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 продължаващо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обучение, от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общия брой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учители – 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1,5 т.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Относителен дял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Няма учители,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До 10%.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11% до 30%.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Над 30%.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9.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 учителите, участвали в допълнително обучение чрез мобилност в друга страна и/или на работно място в реална работна среда, от общия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участвали в допълнително обучение чрез мобилност в друга страна и/или на работно място в реална работна среда.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брой учители – 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1,5 т.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Относителен дял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Над 5%.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4% до 5%.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2% до 3%.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0 до 2%.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10.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 отпадналите от училище към постъпилите в началото на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 xml:space="preserve">обучението – </w:t>
            </w:r>
            <w:r w:rsidRPr="00080175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>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0,75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1,5 т.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Относителен дял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20% до 39%.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40% до 59%.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60% до 84%.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85% до 100%.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11.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 успешно положилите държавните изпити и/или изпитите по теория и по практика на професията от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Организация и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До 30% от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31% до 60% от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61% до 80% от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Над 80% от учителите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12.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планиране на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учителите имат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учителите имат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учителите имат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имат достатъчни умения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урока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достатъчни умения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достатъчни умения при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достатъчни умения при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при планиране на урока,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при планиране на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планиране на урока,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планиране на урока,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проявяват гъвкавост и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урока и/или не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проявяват гъвкавост 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проявяват гъвкавост 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творчество и разбират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разбират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разбират необходимостта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творчество и разбират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необходимостта от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необходимостта да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да извършват промени в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необходимостта да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промени в плановете си,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извършват промени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плановете си, за да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извършват промени 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за да отговорят на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в плановете си, за да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отговорят на образователните потребности на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плановете си, за да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образователните потребности на групи или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отговорят на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групи или отделни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отговорят на образователните потребности на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отделни ученици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образователните потребности на групи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ученици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групи или отделни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или отделни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(изоставащи, напреднали).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ученици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(изоставащи,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ученици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(изоставащи, напреднали).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напреднали).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(изоставащи,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напреднали).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0,75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3,0 т.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4,0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Използване на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10% до 30% от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31% до 60% от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61% до 80% от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Над 80% от учителите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13.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разнообразни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учителите използват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учителите използват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учителите използват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използват разнообразни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форми за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разнообразни форми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разнообразни форми за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разнообразни форми за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форми за проверка на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проверка на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за проверка на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проверка на знанията,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проверка на знанията,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знанията, уменията и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знанията,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знанията, уменията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уменията 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уменията 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компетентностите на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уменията и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 компетентностите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компетентностите на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компетентностите на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учениците/курсистите.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компетентностите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учениците/курсистите.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учениците/курсистите.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учениците/курсистите.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учениците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0,75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2,5 т.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4,0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Точно и ясно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10% до 30% от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31% до 60% от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61% до 80% от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Над 80% от учителите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14.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формулиране на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учителите имат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учителите имат точно 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учителите имат точно 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имат точно и ясно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критериите за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точно и ясно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ясно формулирани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ясно формулирани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формулирани критерии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оценяване на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формулирани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критерии за оценяване на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критерии за оценяване на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за оценяване на знанията,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знанията,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критерии за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знанията, уменията 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знанията, уменията 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уменията и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уменията и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оценяване на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компетентностите на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компетентностите на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компетентностите на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компетентно</w:t>
            </w:r>
            <w:r w:rsidRPr="00080175">
              <w:rPr>
                <w:sz w:val="16"/>
                <w:szCs w:val="16"/>
              </w:rPr>
              <w:lastRenderedPageBreak/>
              <w:t>стите,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информираността на учениците за тях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 xml:space="preserve">знанията, </w:t>
            </w:r>
            <w:r w:rsidRPr="00080175">
              <w:rPr>
                <w:sz w:val="16"/>
                <w:szCs w:val="16"/>
              </w:rPr>
              <w:lastRenderedPageBreak/>
              <w:t>уменията и компетентностите на учениците и те са запознати с тях.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 xml:space="preserve">учениците и те са </w:t>
            </w:r>
            <w:r w:rsidRPr="00080175">
              <w:rPr>
                <w:sz w:val="16"/>
                <w:szCs w:val="16"/>
              </w:rPr>
              <w:lastRenderedPageBreak/>
              <w:t>запознати с тях.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 xml:space="preserve">учениците и теса </w:t>
            </w:r>
            <w:r w:rsidRPr="00080175">
              <w:rPr>
                <w:sz w:val="16"/>
                <w:szCs w:val="16"/>
              </w:rPr>
              <w:lastRenderedPageBreak/>
              <w:t>запознати с тях.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 xml:space="preserve">учениците и те са </w:t>
            </w:r>
            <w:r w:rsidRPr="00080175">
              <w:rPr>
                <w:sz w:val="16"/>
                <w:szCs w:val="16"/>
              </w:rPr>
              <w:lastRenderedPageBreak/>
              <w:t>запознати с тях.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0,75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2,5 т.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3,0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10% до 30% от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31% до 60% от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61% до 80% от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Над 80% от учителите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15.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Ритмичност на оценяването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учителите оценяват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учителите оценяват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учителите оценяват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оценяват ритмично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ритмично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ритмично постиженията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ритмично постиженията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постиженията на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постиженията на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 учениците в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 учениците 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учениците в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учениците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съответствие с Наредбата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съответствие с Наредбата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съответствие с Наредбата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са в съответствие с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за оценяване,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за оценяване,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за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Наредбата за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проверяват прецизно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проверяват прецизно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оценяване, проверяват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оценяване,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писмените работи,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писмените работи,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прецизно писмените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проверяват прецизно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отстраняват грешките,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отстраняват грешките,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работи, отстраняват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писмените работи,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оценяват ги и поставят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оценяват ги и поставят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грешките, оценяват ги и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отстраняват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аргументирана рецензия.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аргументирана рецензия.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поставят аргументирана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грешките, оценяват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Съхраняват входно 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Съхраняват входно 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рецензия. Съхраняват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ги и поставят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изходно ниво до края на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изходно ниво до края на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входно и изходно ниво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аргументирана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учебната година.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учебната година.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до края на учебната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рецензия. Съхраняват входно и изходно ниво до края на учебната година.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0,5 т.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1,0 т.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1,5 т.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година.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2. 16.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Относителен дял на учениците, участвали в състезания, олимпиади, конкурси и др. от общия брой ученици – %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Участвали в състезания, олимпиади, конкурси и други от 10% до 30%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общия брой ученици. 0,5 т.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31% до 60%.1,0 т.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От 61% до 80%.1,5 т.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Над 80%.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2. 17.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Реализирани училищни, национални и международни програми и проекти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Училището няма участие в програми и проекти.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Училището участва в програми, кандидатства с разработени проекти, но няма класирани такива (училищни, национални, европейски, други международни).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0,75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Училището участва в програми, има разработени и класирани проекти (училищни, национални, европейски, други международни) – най-малко 2 броя.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1,5 т.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Училището участва в програми, има разработени и класирани проекти (училищни, национални, европейски, други международни) – 3 и повече броя.</w:t>
            </w:r>
          </w:p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Педагогическо взаимодействие „училище – семейство“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Родителите не са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Има изграден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Има изграден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Има изграден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18.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информирани за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информационен кът с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информационен кът с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информационен кът с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учебните планове 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учебните планове по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учебните планове по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учебните планове по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програми по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специалности,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специалности,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специалности,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родителите са запознати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посочени са сайтовете, от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посочени са сайтовете, от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специалности,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 родителска среща с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които родителите могат да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които родителите могат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за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училищния учебен план.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се запознаят с ДОС, с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да се запознаят с ДОС, с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организираните от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Родителите са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националните изпитни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националните изпитни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училището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информирани за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програми, с учебните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програми, с учебните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извънкласни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планираните извънкласни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програми за целия етап на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програми за целия етап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дейности и не са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дейности, но не проявяват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обучение и с училищните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 обучение и с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мотивирани за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интерес.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учебни планове.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училищните учебни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участие в тях.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Родителите са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планове. Цялата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информирани за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информация за учебната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планираните извънкласни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документация по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дейности, проявяват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изучаваните в училището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интерес и подпомагат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специалности е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организацията 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налична и на сайта на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провеждането им.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училището. Родителите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са информирани за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планираните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извънкласни дейности и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чрез училищния сайт,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проявяват интерес и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участват в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организирането и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провеждането им.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0,75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1,5 т.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Педагогическо взаимодействие с всички заинтересовани страни на местно и регионално равнище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Училището не взаимодейства с всички заинтересовани страни на местно и регионално равнище.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Училището взаимодейства с всички заинтересовани страни на местно и регионално равнище за повишаване на качеството на образованието.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Училището активно взаимодейства с всички заинтересовани страни на местно и регионално равнище за повишаване на качеството на образованието.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Училището много активно участва в процеса на взаимодействие с всички заинтересовани страни на местно и регионално равнище за повишаване на качеството на образованието, за модернизиране на материално-техническата база на училището и др.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19.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</w:tr>
      <w:tr w:rsidR="00080175" w:rsidRPr="00080175" w:rsidTr="006B54C4">
        <w:trPr>
          <w:gridAfter w:val="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0,0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0,75 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1,5 т.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  <w:r w:rsidRPr="00080175">
              <w:rPr>
                <w:sz w:val="16"/>
                <w:szCs w:val="16"/>
              </w:rPr>
              <w:t>2,0 т.</w:t>
            </w:r>
          </w:p>
        </w:tc>
      </w:tr>
      <w:tr w:rsidR="00080175" w:rsidRPr="00080175" w:rsidTr="006B5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75" w:rsidRPr="00080175" w:rsidRDefault="00080175" w:rsidP="006B54C4">
            <w:pPr>
              <w:rPr>
                <w:sz w:val="16"/>
                <w:szCs w:val="16"/>
              </w:rPr>
            </w:pPr>
          </w:p>
        </w:tc>
      </w:tr>
    </w:tbl>
    <w:p w:rsidR="00080175" w:rsidRPr="00080175" w:rsidRDefault="00080175" w:rsidP="00080175"/>
    <w:p w:rsidR="006741AD" w:rsidRPr="00080175" w:rsidRDefault="006741AD" w:rsidP="006741AD">
      <w:pPr>
        <w:shd w:val="clear" w:color="auto" w:fill="FFFFFF"/>
        <w:rPr>
          <w:color w:val="111111"/>
          <w:sz w:val="21"/>
          <w:szCs w:val="21"/>
        </w:rPr>
      </w:pPr>
    </w:p>
    <w:sectPr w:rsidR="006741AD" w:rsidRPr="0008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4860"/>
    <w:multiLevelType w:val="multilevel"/>
    <w:tmpl w:val="995A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A080F"/>
    <w:multiLevelType w:val="multilevel"/>
    <w:tmpl w:val="8BE2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4C"/>
    <w:rsid w:val="00080175"/>
    <w:rsid w:val="00252AAE"/>
    <w:rsid w:val="00383C92"/>
    <w:rsid w:val="00405715"/>
    <w:rsid w:val="00411ECF"/>
    <w:rsid w:val="004546E9"/>
    <w:rsid w:val="0061104C"/>
    <w:rsid w:val="006741AD"/>
    <w:rsid w:val="00743DC2"/>
    <w:rsid w:val="009E5BA0"/>
    <w:rsid w:val="00A27630"/>
    <w:rsid w:val="00B24BFB"/>
    <w:rsid w:val="00BD5965"/>
    <w:rsid w:val="00BE2CB5"/>
    <w:rsid w:val="00D32E2A"/>
    <w:rsid w:val="00E55BA5"/>
    <w:rsid w:val="00F551BD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231CE-530F-4A77-A197-06F87816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6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6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741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41AD"/>
    <w:rPr>
      <w:b/>
      <w:bCs/>
    </w:rPr>
  </w:style>
  <w:style w:type="paragraph" w:styleId="BodyText">
    <w:name w:val="Body Text"/>
    <w:link w:val="BodyTextChar"/>
    <w:rsid w:val="006741AD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</w:rPr>
  </w:style>
  <w:style w:type="character" w:customStyle="1" w:styleId="BodyTextChar">
    <w:name w:val="Body Text Char"/>
    <w:basedOn w:val="DefaultParagraphFont"/>
    <w:link w:val="BodyText"/>
    <w:rsid w:val="006741AD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5128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vision</cp:lastModifiedBy>
  <cp:revision>11</cp:revision>
  <dcterms:created xsi:type="dcterms:W3CDTF">2017-11-29T09:19:00Z</dcterms:created>
  <dcterms:modified xsi:type="dcterms:W3CDTF">2023-10-09T11:16:00Z</dcterms:modified>
</cp:coreProperties>
</file>